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宋体" w:hAnsi="宋体" w:eastAsia="方正小标宋_GBK"/>
          <w:b/>
          <w:sz w:val="44"/>
          <w:szCs w:val="44"/>
        </w:rPr>
      </w:pPr>
      <w:r>
        <w:rPr>
          <w:rFonts w:hint="eastAsia" w:ascii="宋体" w:hAnsi="宋体" w:eastAsia="方正小标宋_GBK"/>
          <w:b/>
          <w:sz w:val="44"/>
          <w:szCs w:val="44"/>
        </w:rPr>
        <w:t>青田县某公司与陈某某损害公司利益责任</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宋体" w:hAnsi="宋体" w:eastAsia="方正小标宋_GBK"/>
          <w:b/>
          <w:sz w:val="44"/>
          <w:szCs w:val="44"/>
        </w:rPr>
      </w:pPr>
      <w:r>
        <w:rPr>
          <w:rFonts w:hint="eastAsia" w:ascii="宋体" w:hAnsi="宋体" w:eastAsia="方正小标宋_GBK"/>
          <w:b/>
          <w:sz w:val="44"/>
          <w:szCs w:val="44"/>
        </w:rPr>
        <w:t>纠纷化解案例</w:t>
      </w:r>
    </w:p>
    <w:p>
      <w:pPr>
        <w:spacing w:line="600" w:lineRule="exact"/>
        <w:jc w:val="left"/>
        <w:rPr>
          <w:rFonts w:ascii="宋体" w:hAnsi="宋体"/>
        </w:rPr>
      </w:pPr>
    </w:p>
    <w:p>
      <w:pPr>
        <w:ind w:firstLine="680" w:firstLineChars="200"/>
        <w:rPr>
          <w:rFonts w:hint="eastAsia" w:ascii="宋体" w:hAnsi="宋体"/>
          <w:b/>
          <w:bCs/>
        </w:rPr>
      </w:pPr>
      <w:r>
        <w:rPr>
          <w:rFonts w:hint="eastAsia" w:ascii="宋体" w:hAnsi="宋体"/>
          <w:b/>
          <w:bCs/>
        </w:rPr>
        <w:t>【基本案情】</w:t>
      </w:r>
    </w:p>
    <w:p>
      <w:pPr>
        <w:ind w:firstLine="680" w:firstLineChars="200"/>
        <w:rPr>
          <w:rFonts w:hint="eastAsia" w:ascii="宋体" w:hAnsi="宋体"/>
        </w:rPr>
      </w:pPr>
      <w:r>
        <w:rPr>
          <w:rFonts w:hint="eastAsia" w:ascii="宋体" w:hAnsi="宋体"/>
        </w:rPr>
        <w:t>该案为系列案，两案双方当事人相同。陈某某系旅居西班牙的青田华侨，后回国投资，系青田某公司原股东。2011年4月，青田某公司向丽水市中级人民法院起诉，请求判令陈某某归还侵占款2000万元、欠款966万余元及相应利息。陈某某主张该两笔款项已经在其与案外人青田某公司的股东浙江某公司签订的《协议书》中约定结清、对账冲抵，不应再承担任何返还义务。2012年6月，一审法院以当事人涉嫌经济犯罪为由移送公安机关刑事侦查，公安侦查六年未果。后青田某公司于2021年1月再次提起两案诉讼，一审法院受理后，分别作出判决陈某某返还青田某公司2000万、966万余元及相应利息。陈某某不服一审判决，提起上诉，浙江省高级人民法院于2021年9月受理两案。</w:t>
      </w:r>
    </w:p>
    <w:p>
      <w:pPr>
        <w:ind w:firstLine="680" w:firstLineChars="200"/>
        <w:rPr>
          <w:rFonts w:hint="eastAsia" w:ascii="宋体" w:hAnsi="宋体"/>
          <w:b/>
          <w:bCs/>
        </w:rPr>
      </w:pPr>
      <w:r>
        <w:rPr>
          <w:rFonts w:hint="eastAsia" w:ascii="宋体" w:hAnsi="宋体"/>
          <w:b/>
          <w:bCs/>
        </w:rPr>
        <w:t>【法理依据】</w:t>
      </w:r>
    </w:p>
    <w:p>
      <w:pPr>
        <w:ind w:firstLine="680" w:firstLineChars="200"/>
        <w:rPr>
          <w:rFonts w:hint="eastAsia" w:ascii="宋体" w:hAnsi="宋体"/>
        </w:rPr>
      </w:pPr>
      <w:r>
        <w:rPr>
          <w:rFonts w:hint="eastAsia" w:ascii="宋体" w:hAnsi="宋体"/>
        </w:rPr>
        <w:t>《中华人民共和国民事诉讼法》第九十八条　人民法院进行调解，可以邀请有关单位和个人协助。被邀请的单位和个人，应当协助人民法院进行调解。</w:t>
      </w:r>
    </w:p>
    <w:p>
      <w:pPr>
        <w:ind w:firstLine="680" w:firstLineChars="200"/>
        <w:rPr>
          <w:rFonts w:hint="eastAsia" w:ascii="宋体" w:hAnsi="宋体"/>
        </w:rPr>
      </w:pPr>
      <w:r>
        <w:rPr>
          <w:rFonts w:hint="eastAsia" w:ascii="宋体" w:hAnsi="宋体"/>
        </w:rPr>
        <w:t>《最高人民法院关于人民法院民事调解工作若干问题的规定》第一条 根据民事诉讼法（2017年修正）第九十五条的规定，人民法院可以邀请与当事人有特定关系或者与案件有一定联系的企业事业单位、社会团体或者其他组织，和具有专门知识、特定社会经验、与当事人有特定关系并有利于促成调解的个人协助调解工作。</w:t>
      </w:r>
    </w:p>
    <w:p>
      <w:pPr>
        <w:ind w:firstLine="680" w:firstLineChars="200"/>
        <w:rPr>
          <w:rFonts w:hint="eastAsia" w:ascii="宋体" w:hAnsi="宋体"/>
        </w:rPr>
      </w:pPr>
      <w:r>
        <w:rPr>
          <w:rFonts w:hint="eastAsia" w:ascii="宋体" w:hAnsi="宋体"/>
        </w:rPr>
        <w:t>《最高人民法院 中华全国归国华侨联合会关于在部分地区开展涉侨纠纷多元化解试点工作的意见》（法〔2018〕69号），确定浙江为涉侨纠纷多元化解工作试点省份。</w:t>
      </w:r>
    </w:p>
    <w:p>
      <w:pPr>
        <w:ind w:firstLine="680" w:firstLineChars="200"/>
        <w:rPr>
          <w:rFonts w:hint="eastAsia" w:ascii="宋体" w:hAnsi="宋体"/>
        </w:rPr>
      </w:pPr>
      <w:r>
        <w:rPr>
          <w:rFonts w:hint="eastAsia" w:ascii="宋体" w:hAnsi="宋体"/>
        </w:rPr>
        <w:t>《浙江省高级人民法院 浙江省归国华侨联合会关于开展涉侨纠纷多元化解试点工作方案》（浙侨联〔2019〕52号），确定青田、文成两家试点工作示范法院，以点带面推动工作创新，形成“海内海外联动调解、线上线下多元共治”的涉侨纠纷多元化解优秀经验。</w:t>
      </w:r>
    </w:p>
    <w:p>
      <w:pPr>
        <w:ind w:firstLine="680" w:firstLineChars="200"/>
        <w:rPr>
          <w:rFonts w:hint="eastAsia" w:ascii="宋体" w:hAnsi="宋体"/>
        </w:rPr>
      </w:pPr>
      <w:r>
        <w:rPr>
          <w:rFonts w:hint="eastAsia" w:ascii="宋体" w:hAnsi="宋体"/>
        </w:rPr>
        <w:t>《浙江省高级人民法院 浙江省归国华侨联合会关于进一步深化涉侨纠纷多元化解试点工作的通知》（浙侨联〔2022〕21号），进一步健全“法侨合作”工作机制，推动全省法院与侨联形成合力。</w:t>
      </w:r>
    </w:p>
    <w:p>
      <w:pPr>
        <w:ind w:firstLine="680" w:firstLineChars="200"/>
        <w:rPr>
          <w:rFonts w:hint="eastAsia" w:ascii="宋体" w:hAnsi="宋体"/>
          <w:b/>
          <w:bCs/>
        </w:rPr>
      </w:pPr>
      <w:r>
        <w:rPr>
          <w:rFonts w:hint="eastAsia" w:ascii="宋体" w:hAnsi="宋体"/>
          <w:b/>
          <w:bCs/>
        </w:rPr>
        <w:t>【调解过程】</w:t>
      </w:r>
    </w:p>
    <w:p>
      <w:pPr>
        <w:ind w:firstLine="680" w:firstLineChars="200"/>
        <w:rPr>
          <w:rFonts w:hint="eastAsia" w:ascii="宋体" w:hAnsi="宋体"/>
        </w:rPr>
      </w:pPr>
      <w:r>
        <w:rPr>
          <w:rFonts w:hint="eastAsia" w:ascii="宋体" w:hAnsi="宋体"/>
        </w:rPr>
        <w:t>由于两案时间跨度大，案情较复杂敏感，纠纷还涉及案外人浙江某公司和其实际控制人陈某（意大利华侨）等，两案纠纷在当地侨界影响较大，当地政府曾多次出面协调未果，案件审理受到社会各界的高度关注。二审中青田某公司还申请限制陈某某出入境，矛盾有日益激化的趋势。浙江省高级人民法院二审在线开庭审理查明基本事实后，与当事人反复沟通，释法明理，引导调解和解，积极协调推进涉侨纠纷多元化解。</w:t>
      </w:r>
      <w:r>
        <w:rPr>
          <w:rFonts w:hint="default"/>
        </w:rPr>
        <w:t>省法院</w:t>
      </w:r>
      <w:r>
        <w:rPr>
          <w:rFonts w:hint="eastAsia" w:ascii="宋体" w:hAnsi="宋体"/>
        </w:rPr>
        <w:t>联合省侨联，邀请双方信任的全国人大代表、涉侨纠纷调解员，以及对浙江某公司企业债务危机帮扶解困历史情况比较了解的当地政府工作人员共同参与纠纷化解工作。在青田某公司内部对调解方案难以达成一致意见时，二审法官及时建议通过股东会决议的方式推进解决。经过反复沟通，多轮磋商，双方当事人最终自愿达成一揽子调解协议，由陈某某分期向青田某公司支付款项1200万元，并达成严格的逾期付款制约条款。陈某某于签约当日即履行了第一期付款义务。同时，陈某某与案外人浙江某公司和陈某也另行出具共同承诺书，双方承诺互不追究责任。浙江省高级人民法院制作和送达了民事调解书。至此，陈某某与青田某公司以及案外人浙江某公司之间历时11年的投资纠纷矛盾得以一揽子实质性化解。</w:t>
      </w:r>
    </w:p>
    <w:p>
      <w:pPr>
        <w:ind w:firstLine="680" w:firstLineChars="200"/>
        <w:rPr>
          <w:rFonts w:hint="eastAsia" w:ascii="宋体" w:hAnsi="宋体"/>
        </w:rPr>
      </w:pPr>
      <w:r>
        <w:rPr>
          <w:rFonts w:hint="eastAsia" w:ascii="宋体" w:hAnsi="宋体"/>
        </w:rPr>
        <w:t>【</w:t>
      </w:r>
      <w:r>
        <w:rPr>
          <w:rFonts w:hint="eastAsia" w:ascii="宋体" w:hAnsi="宋体"/>
          <w:b/>
          <w:bCs/>
        </w:rPr>
        <w:t>典型意义】</w:t>
      </w:r>
    </w:p>
    <w:p>
      <w:pPr>
        <w:ind w:firstLine="680" w:firstLineChars="200"/>
        <w:rPr>
          <w:rFonts w:hint="eastAsia" w:ascii="宋体" w:hAnsi="宋体"/>
        </w:rPr>
      </w:pPr>
      <w:r>
        <w:rPr>
          <w:rFonts w:hint="eastAsia" w:ascii="宋体" w:hAnsi="宋体"/>
        </w:rPr>
        <w:t>广大侨胞是促进中外友好的桥梁和纽带，也是我国经济社会发展的重要力量。浙江是侨务大省，被最高人民法院和</w:t>
      </w:r>
      <w:r>
        <w:rPr>
          <w:rFonts w:hint="default"/>
        </w:rPr>
        <w:t>中国</w:t>
      </w:r>
      <w:r>
        <w:rPr>
          <w:rFonts w:hint="eastAsia" w:ascii="宋体" w:hAnsi="宋体"/>
        </w:rPr>
        <w:t>侨联联合发文确定为涉侨纠纷多元化解试点省份。两案涉及华侨及其回国投资的企业的合法权益保护问题。二审中，浙江省高级人民法院坚持平等保护原则，坚持多方联动多元化解纠纷，先后联合省侨联、全国人大代表、涉侨纠纷调解员、当地政府部门等共同参加纠纷化解工作，最终成功化解历时11年的涉侨损害公司利益责任纠纷案，相关纠纷也一揽子解决，有效促成当事人之间案结事了。该两案纠纷的实质性化解，既依法维护海外侨胞的合法权益，又助力企业收回债权，维护了良好的营商环境，各方当事人均表示衷心感谢，</w:t>
      </w:r>
      <w:r>
        <w:rPr>
          <w:rFonts w:hint="default"/>
        </w:rPr>
        <w:t>浙江</w:t>
      </w:r>
      <w:bookmarkStart w:id="0" w:name="_GoBack"/>
      <w:bookmarkEnd w:id="0"/>
      <w:r>
        <w:rPr>
          <w:rFonts w:hint="eastAsia" w:ascii="宋体" w:hAnsi="宋体"/>
        </w:rPr>
        <w:t>省委统战部亦向省高院致函感谢，实现了办案法律效果、政治效果和社会效果的有机统一。</w:t>
      </w:r>
    </w:p>
    <w:p>
      <w:pPr>
        <w:keepNext w:val="0"/>
        <w:keepLines w:val="0"/>
        <w:pageBreakBefore w:val="0"/>
        <w:widowControl w:val="0"/>
        <w:kinsoku/>
        <w:wordWrap/>
        <w:overflowPunct/>
        <w:topLinePunct w:val="0"/>
        <w:autoSpaceDE/>
        <w:autoSpaceDN/>
        <w:bidi w:val="0"/>
        <w:adjustRightInd/>
        <w:snapToGrid/>
        <w:spacing w:line="460" w:lineRule="exact"/>
        <w:ind w:left="1240" w:leftChars="100" w:right="340" w:rightChars="100" w:hanging="900" w:hangingChars="300"/>
        <w:jc w:val="left"/>
        <w:textAlignment w:val="auto"/>
        <w:outlineLvl w:val="9"/>
        <w:rPr>
          <w:rFonts w:ascii="宋体" w:hAnsi="宋体"/>
          <w:sz w:val="28"/>
          <w:szCs w:val="28"/>
        </w:rPr>
      </w:pPr>
    </w:p>
    <w:sectPr>
      <w:footerReference r:id="rId3" w:type="default"/>
      <w:footerReference r:id="rId4" w:type="even"/>
      <w:pgSz w:w="11906" w:h="16838"/>
      <w:pgMar w:top="2098" w:right="1474" w:bottom="1985" w:left="1588" w:header="851" w:footer="1400" w:gutter="0"/>
      <w:cols w:space="425" w:num="1"/>
      <w:titlePg/>
      <w:docGrid w:type="linesAndChars" w:linePitch="579" w:charSpace="41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320" w:rightChars="100"/>
      <w:jc w:val="right"/>
      <w:rPr>
        <w:rFonts w:asciiTheme="minorEastAsia" w:hAnsiTheme="minorEastAsia" w:eastAsiaTheme="minorEastAsia"/>
        <w:sz w:val="28"/>
      </w:rPr>
    </w:pPr>
    <w:r>
      <w:rPr>
        <w:rFonts w:hint="eastAsia" w:asciiTheme="minorEastAsia" w:hAnsiTheme="minorEastAsia" w:eastAsiaTheme="minorEastAsia"/>
        <w:sz w:val="28"/>
      </w:rPr>
      <w:t xml:space="preserve">— </w:t>
    </w:r>
    <w:sdt>
      <w:sdtPr>
        <w:rPr>
          <w:rFonts w:asciiTheme="minorEastAsia" w:hAnsiTheme="minorEastAsia" w:eastAsiaTheme="minorEastAsia"/>
          <w:sz w:val="28"/>
        </w:rPr>
        <w:id w:val="147472428"/>
        <w:docPartObj>
          <w:docPartGallery w:val="autotext"/>
        </w:docPartObj>
      </w:sdtPr>
      <w:sdtEndPr>
        <w:rPr>
          <w:rFonts w:asciiTheme="minorEastAsia" w:hAnsiTheme="minorEastAsia" w:eastAsiaTheme="minorEastAsia"/>
          <w:sz w:val="28"/>
        </w:rPr>
      </w:sdtEndPr>
      <w:sdtContent>
        <w:r>
          <w:rPr>
            <w:rFonts w:asciiTheme="minorEastAsia" w:hAnsiTheme="minorEastAsia" w:eastAsiaTheme="minorEastAsia"/>
            <w:sz w:val="28"/>
          </w:rPr>
          <w:fldChar w:fldCharType="begin"/>
        </w:r>
        <w:r>
          <w:rPr>
            <w:rFonts w:asciiTheme="minorEastAsia" w:hAnsiTheme="minorEastAsia" w:eastAsiaTheme="minorEastAsia"/>
            <w:sz w:val="28"/>
          </w:rPr>
          <w:instrText xml:space="preserve">PAGE   \* MERGEFORMAT</w:instrText>
        </w:r>
        <w:r>
          <w:rPr>
            <w:rFonts w:asciiTheme="minorEastAsia" w:hAnsiTheme="minorEastAsia" w:eastAsiaTheme="minorEastAsia"/>
            <w:sz w:val="28"/>
          </w:rPr>
          <w:fldChar w:fldCharType="separate"/>
        </w:r>
        <w:r>
          <w:rPr>
            <w:rFonts w:asciiTheme="minorEastAsia" w:hAnsiTheme="minorEastAsia" w:eastAsiaTheme="minorEastAsia"/>
            <w:sz w:val="28"/>
            <w:lang w:val="zh-CN"/>
          </w:rPr>
          <w:t>3</w:t>
        </w:r>
        <w:r>
          <w:rPr>
            <w:rFonts w:asciiTheme="minorEastAsia" w:hAnsiTheme="minorEastAsia" w:eastAsiaTheme="minorEastAsia"/>
            <w:sz w:val="28"/>
          </w:rPr>
          <w:fldChar w:fldCharType="end"/>
        </w:r>
        <w:r>
          <w:rPr>
            <w:rFonts w:hint="eastAsia" w:asciiTheme="minorEastAsia" w:hAnsiTheme="minorEastAsia" w:eastAsiaTheme="minorEastAsia"/>
            <w:sz w:val="28"/>
          </w:rPr>
          <w:t xml:space="preserve"> </w:t>
        </w:r>
      </w:sdtContent>
    </w:sdt>
    <w:r>
      <w:rPr>
        <w:rFonts w:hint="eastAsia" w:asciiTheme="minorEastAsia" w:hAnsiTheme="minorEastAsia" w:eastAsiaTheme="minor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20" w:leftChars="100"/>
      <w:rPr>
        <w:rFonts w:eastAsia="宋体"/>
        <w:sz w:val="28"/>
      </w:rPr>
    </w:pPr>
    <w:r>
      <w:rPr>
        <w:rFonts w:hint="eastAsia" w:eastAsia="宋体"/>
        <w:sz w:val="28"/>
      </w:rPr>
      <w:t>—</w:t>
    </w:r>
    <w:sdt>
      <w:sdtPr>
        <w:rPr>
          <w:rFonts w:eastAsia="宋体"/>
          <w:sz w:val="28"/>
        </w:rPr>
        <w:id w:val="147460637"/>
        <w:docPartObj>
          <w:docPartGallery w:val="autotext"/>
        </w:docPartObj>
      </w:sdtPr>
      <w:sdtEndPr>
        <w:rPr>
          <w:rFonts w:eastAsia="宋体"/>
          <w:sz w:val="28"/>
        </w:rPr>
      </w:sdtEndPr>
      <w:sdtContent>
        <w:r>
          <w:rPr>
            <w:rFonts w:hint="eastAsia" w:eastAsia="宋体"/>
            <w:sz w:val="28"/>
          </w:rPr>
          <w:t xml:space="preserve"> </w:t>
        </w:r>
        <w:r>
          <w:rPr>
            <w:rFonts w:eastAsia="宋体"/>
            <w:sz w:val="28"/>
          </w:rPr>
          <w:fldChar w:fldCharType="begin"/>
        </w:r>
        <w:r>
          <w:rPr>
            <w:rFonts w:eastAsia="宋体"/>
            <w:sz w:val="28"/>
          </w:rPr>
          <w:instrText xml:space="preserve">PAGE   \* MERGEFORMAT</w:instrText>
        </w:r>
        <w:r>
          <w:rPr>
            <w:rFonts w:eastAsia="宋体"/>
            <w:sz w:val="28"/>
          </w:rPr>
          <w:fldChar w:fldCharType="separate"/>
        </w:r>
        <w:r>
          <w:rPr>
            <w:rFonts w:eastAsia="宋体"/>
            <w:sz w:val="28"/>
            <w:lang w:val="zh-CN"/>
          </w:rPr>
          <w:t>4</w:t>
        </w:r>
        <w:r>
          <w:rPr>
            <w:rFonts w:eastAsia="宋体"/>
            <w:sz w:val="28"/>
          </w:rPr>
          <w:fldChar w:fldCharType="end"/>
        </w:r>
        <w:r>
          <w:rPr>
            <w:rFonts w:hint="eastAsia" w:eastAsia="宋体"/>
            <w:sz w:val="28"/>
          </w:rPr>
          <w:t xml:space="preserve"> —</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attachedTemplate r:id="rId1"/>
  <w:documentProtection w:enforcement="0"/>
  <w:defaultTabStop w:val="420"/>
  <w:evenAndOddHeaders w:val="1"/>
  <w:drawingGridHorizontalSpacing w:val="17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DBA"/>
    <w:rsid w:val="000344DC"/>
    <w:rsid w:val="00040DF5"/>
    <w:rsid w:val="00062D2B"/>
    <w:rsid w:val="000672E0"/>
    <w:rsid w:val="00097DA7"/>
    <w:rsid w:val="000E45D4"/>
    <w:rsid w:val="0010306B"/>
    <w:rsid w:val="00105DB9"/>
    <w:rsid w:val="0010740F"/>
    <w:rsid w:val="00113D9D"/>
    <w:rsid w:val="00137962"/>
    <w:rsid w:val="0016441F"/>
    <w:rsid w:val="001645DA"/>
    <w:rsid w:val="0019617A"/>
    <w:rsid w:val="001B42DA"/>
    <w:rsid w:val="001B4DBA"/>
    <w:rsid w:val="002024AE"/>
    <w:rsid w:val="0024228E"/>
    <w:rsid w:val="0025519B"/>
    <w:rsid w:val="00297649"/>
    <w:rsid w:val="002A6ADF"/>
    <w:rsid w:val="002F2A29"/>
    <w:rsid w:val="00316ECA"/>
    <w:rsid w:val="0032575A"/>
    <w:rsid w:val="00334D5A"/>
    <w:rsid w:val="00342B45"/>
    <w:rsid w:val="00350D8B"/>
    <w:rsid w:val="00352AC1"/>
    <w:rsid w:val="00360A3B"/>
    <w:rsid w:val="0036400B"/>
    <w:rsid w:val="003752B8"/>
    <w:rsid w:val="0037684B"/>
    <w:rsid w:val="003937A8"/>
    <w:rsid w:val="003A7998"/>
    <w:rsid w:val="003E359D"/>
    <w:rsid w:val="0040020B"/>
    <w:rsid w:val="00413830"/>
    <w:rsid w:val="00414C60"/>
    <w:rsid w:val="00491E63"/>
    <w:rsid w:val="004B7AA6"/>
    <w:rsid w:val="004E4B6E"/>
    <w:rsid w:val="00505EF3"/>
    <w:rsid w:val="005203C5"/>
    <w:rsid w:val="00531DAC"/>
    <w:rsid w:val="005371C1"/>
    <w:rsid w:val="00564720"/>
    <w:rsid w:val="0057535D"/>
    <w:rsid w:val="005A6153"/>
    <w:rsid w:val="005F4F6F"/>
    <w:rsid w:val="00607AE3"/>
    <w:rsid w:val="00612CFD"/>
    <w:rsid w:val="00656548"/>
    <w:rsid w:val="006633C7"/>
    <w:rsid w:val="006E14E7"/>
    <w:rsid w:val="007379B8"/>
    <w:rsid w:val="00737C9A"/>
    <w:rsid w:val="007754A3"/>
    <w:rsid w:val="007C19FF"/>
    <w:rsid w:val="00801387"/>
    <w:rsid w:val="0081356F"/>
    <w:rsid w:val="008337CD"/>
    <w:rsid w:val="00863E3E"/>
    <w:rsid w:val="00877778"/>
    <w:rsid w:val="00887589"/>
    <w:rsid w:val="0089309F"/>
    <w:rsid w:val="008F0DB0"/>
    <w:rsid w:val="00921F4D"/>
    <w:rsid w:val="009576DE"/>
    <w:rsid w:val="00971E7C"/>
    <w:rsid w:val="009A28A4"/>
    <w:rsid w:val="009F246C"/>
    <w:rsid w:val="00A07398"/>
    <w:rsid w:val="00A2730F"/>
    <w:rsid w:val="00A33327"/>
    <w:rsid w:val="00A33399"/>
    <w:rsid w:val="00A817CB"/>
    <w:rsid w:val="00A84F38"/>
    <w:rsid w:val="00AA7121"/>
    <w:rsid w:val="00AB3F9F"/>
    <w:rsid w:val="00AB43EF"/>
    <w:rsid w:val="00AE7C35"/>
    <w:rsid w:val="00AF5427"/>
    <w:rsid w:val="00B07A5D"/>
    <w:rsid w:val="00B07C3E"/>
    <w:rsid w:val="00B25394"/>
    <w:rsid w:val="00B26281"/>
    <w:rsid w:val="00B31A2E"/>
    <w:rsid w:val="00B873B1"/>
    <w:rsid w:val="00B91F04"/>
    <w:rsid w:val="00BD08E0"/>
    <w:rsid w:val="00BE7268"/>
    <w:rsid w:val="00C15066"/>
    <w:rsid w:val="00C42799"/>
    <w:rsid w:val="00C70F1A"/>
    <w:rsid w:val="00C844BA"/>
    <w:rsid w:val="00C973B3"/>
    <w:rsid w:val="00CA368E"/>
    <w:rsid w:val="00CD437E"/>
    <w:rsid w:val="00CD7D01"/>
    <w:rsid w:val="00CE358B"/>
    <w:rsid w:val="00CF515B"/>
    <w:rsid w:val="00D3682A"/>
    <w:rsid w:val="00D666A2"/>
    <w:rsid w:val="00D873FF"/>
    <w:rsid w:val="00D90590"/>
    <w:rsid w:val="00DE055F"/>
    <w:rsid w:val="00E0295D"/>
    <w:rsid w:val="00E038D0"/>
    <w:rsid w:val="00E5531C"/>
    <w:rsid w:val="00E62DBE"/>
    <w:rsid w:val="00EA6AC4"/>
    <w:rsid w:val="00EC250E"/>
    <w:rsid w:val="00EE5F11"/>
    <w:rsid w:val="00F05E6F"/>
    <w:rsid w:val="00F90D8F"/>
    <w:rsid w:val="00FB3BCC"/>
    <w:rsid w:val="00FF5C46"/>
    <w:rsid w:val="2CF3BFDA"/>
    <w:rsid w:val="33A5E063"/>
    <w:rsid w:val="3A761273"/>
    <w:rsid w:val="4BFA532C"/>
    <w:rsid w:val="4C4F7EB2"/>
    <w:rsid w:val="4DF95FBB"/>
    <w:rsid w:val="4F7B8164"/>
    <w:rsid w:val="5BDE7DEC"/>
    <w:rsid w:val="6B4FBA29"/>
    <w:rsid w:val="6D0D60BB"/>
    <w:rsid w:val="73776E6E"/>
    <w:rsid w:val="77DE3B5F"/>
    <w:rsid w:val="797FE547"/>
    <w:rsid w:val="79BF1752"/>
    <w:rsid w:val="7A2A66F5"/>
    <w:rsid w:val="7BF76C9F"/>
    <w:rsid w:val="7D8E417D"/>
    <w:rsid w:val="7DFD4133"/>
    <w:rsid w:val="7EE8C4F1"/>
    <w:rsid w:val="7FDFF082"/>
    <w:rsid w:val="7FEF700F"/>
    <w:rsid w:val="7FFE9A7B"/>
    <w:rsid w:val="97DA06E3"/>
    <w:rsid w:val="9BE7C825"/>
    <w:rsid w:val="B67C056F"/>
    <w:rsid w:val="BF7E1BD7"/>
    <w:rsid w:val="BFFE4733"/>
    <w:rsid w:val="C7EF9E26"/>
    <w:rsid w:val="DBFFFDEF"/>
    <w:rsid w:val="DCEF8721"/>
    <w:rsid w:val="DDF7485A"/>
    <w:rsid w:val="DE684ADF"/>
    <w:rsid w:val="EEF09DB5"/>
    <w:rsid w:val="EFD76602"/>
    <w:rsid w:val="EFEBF1AD"/>
    <w:rsid w:val="F3D555AB"/>
    <w:rsid w:val="F3FFF1C2"/>
    <w:rsid w:val="F5FF44E2"/>
    <w:rsid w:val="F5FFD3A7"/>
    <w:rsid w:val="F77C556D"/>
    <w:rsid w:val="F7FE273C"/>
    <w:rsid w:val="F93926E2"/>
    <w:rsid w:val="FABFBD28"/>
    <w:rsid w:val="FAE7D21B"/>
    <w:rsid w:val="FEEEAFC2"/>
    <w:rsid w:val="FEFB4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heme="minorBidi"/>
      <w:kern w:val="2"/>
      <w:sz w:val="32"/>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仿宋" w:eastAsia="仿宋"/>
      <w:sz w:val="18"/>
      <w:szCs w:val="18"/>
    </w:rPr>
  </w:style>
  <w:style w:type="character" w:customStyle="1" w:styleId="9">
    <w:name w:val="页脚 Char"/>
    <w:basedOn w:val="5"/>
    <w:link w:val="3"/>
    <w:qFormat/>
    <w:uiPriority w:val="99"/>
    <w:rPr>
      <w:rFonts w:ascii="仿宋" w:eastAsia="仿宋"/>
      <w:sz w:val="18"/>
      <w:szCs w:val="18"/>
    </w:rPr>
  </w:style>
  <w:style w:type="character" w:customStyle="1" w:styleId="10">
    <w:name w:val="批注框文本 Char"/>
    <w:basedOn w:val="5"/>
    <w:link w:val="2"/>
    <w:semiHidden/>
    <w:qFormat/>
    <w:uiPriority w:val="99"/>
    <w:rPr>
      <w:rFonts w:ascii="仿宋" w:eastAsia="仿宋"/>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thtf/C:\home\thtf\C:\Users\qlmsc\AppData\Roaming\Microsoft\Templates\2015092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20150921.dotx</Template>
  <Company>Lenovo</Company>
  <Pages>4</Pages>
  <Words>1650</Words>
  <Characters>1692</Characters>
  <Lines>4</Lines>
  <Paragraphs>1</Paragraphs>
  <TotalTime>5</TotalTime>
  <ScaleCrop>false</ScaleCrop>
  <LinksUpToDate>false</LinksUpToDate>
  <CharactersWithSpaces>1697</CharactersWithSpaces>
  <Application>WPS Office_10.1.0.7492_F1E327BC-269C-435d-A152-05C5408002CA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2015-09-22T09:01:00Z</dcterms:created>
  <dc:creator>qlmsc</dc:creator>
  <cp:lastModifiedBy>thtf</cp:lastModifiedBy>
  <cp:lastPrinted>2025-01-14T10:32:00Z</cp:lastPrinted>
  <dcterms:modified xsi:type="dcterms:W3CDTF">2025-01-14T14:39:58Z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2052-10.1.0.7492</vt:lpwstr>
  </property>
  <property fmtid="{D5CDD505-2E9C-101B-9397-08002B2CF9AE}" pid="3" name="KSOTemplateDocerSaveRecord">
    <vt:lpwstr>eyJoZGlkIjoiY2Q3Y2MzZmFkYWExMWEyYmM1MDA1MjlkZDY3OGFkODUiLCJ1c2VySWQiOiIzMTkyMjkwNzAifQ==</vt:lpwstr>
  </property>
  <property fmtid="{D5CDD505-2E9C-101B-9397-08002B2CF9AE}" pid="4" name="ICV">
    <vt:lpwstr>5DDE6A4A220B42AFA90FB7A92572C992_12</vt:lpwstr>
  </property>
</Properties>
</file>