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60" w:lineRule="exact"/>
        <w:jc w:val="center"/>
        <w:textAlignment w:val="auto"/>
        <w:outlineLvl w:val="9"/>
        <w:rPr>
          <w:rFonts w:ascii="宋体" w:hAnsi="宋体" w:eastAsia="方正小标宋_GBK"/>
          <w:b/>
          <w:sz w:val="44"/>
          <w:szCs w:val="44"/>
        </w:rPr>
      </w:pPr>
      <w:r>
        <w:rPr>
          <w:rFonts w:hint="eastAsia" w:ascii="宋体" w:hAnsi="宋体" w:eastAsia="方正小标宋_GBK"/>
          <w:b/>
          <w:sz w:val="44"/>
          <w:szCs w:val="44"/>
        </w:rPr>
        <w:t>重庆市某保理公司与某实业发展公司保理合同纠纷化解案例</w:t>
      </w:r>
    </w:p>
    <w:p>
      <w:pPr>
        <w:spacing w:line="600" w:lineRule="exact"/>
        <w:jc w:val="left"/>
        <w:rPr>
          <w:rFonts w:ascii="宋体" w:hAnsi="宋体"/>
        </w:rPr>
      </w:pPr>
    </w:p>
    <w:p>
      <w:pPr>
        <w:ind w:firstLine="680" w:firstLineChars="200"/>
        <w:rPr>
          <w:rFonts w:hint="eastAsia" w:ascii="仿宋" w:hAnsi="仿宋" w:eastAsia="仿宋" w:cs="仿宋"/>
          <w:b/>
          <w:bCs/>
          <w:color w:val="auto"/>
          <w:sz w:val="32"/>
          <w:szCs w:val="32"/>
          <w:lang w:eastAsia="zh-CN"/>
        </w:rPr>
      </w:pPr>
      <w:r>
        <w:rPr>
          <w:rFonts w:hint="eastAsia" w:ascii="仿宋" w:hAnsi="仿宋" w:eastAsia="仿宋" w:cs="仿宋"/>
          <w:b/>
          <w:bCs/>
          <w:color w:val="auto"/>
          <w:sz w:val="32"/>
          <w:szCs w:val="32"/>
          <w:lang w:eastAsia="zh-CN"/>
        </w:rPr>
        <w:t>【基本案情】</w:t>
      </w:r>
    </w:p>
    <w:p>
      <w:pPr>
        <w:ind w:firstLine="680" w:firstLineChars="200"/>
        <w:rPr>
          <w:rFonts w:hint="eastAsia" w:ascii="宋体" w:hAnsi="宋体"/>
        </w:rPr>
      </w:pPr>
      <w:r>
        <w:rPr>
          <w:rFonts w:hint="eastAsia" w:ascii="宋体" w:hAnsi="宋体"/>
        </w:rPr>
        <w:t>2021 年 5 月，深圳某保理公司（以下简称保理公司）与深圳某实业发展公司（以下简称实业发展公司）签订《池保理业务合同（有追）》，约定实业发展公司向保理公司转让其对深圳某投资咨询公司应收账款共计1.6亿余元，以及 2021年5月7日起一年内对投资咨询公司持续形成的应收账款，保理公司向实业发展公司授予金额为 1.5 亿元的保理融资额度。合同签订后，保理公司依照签订的 8 份《保理融资用款确认书》分 8 次向实业发展公司发放了合计 1.5 亿元的保理融资款，并由某集团（深圳）公司、深圳某房地产开发公司提供连带责任保证。后因被告违约，保理公司诉至法院要求实业发展公司偿还保理融资本息，支付违约金及实现债权费用，另三家公司承担连带清偿责任。本案双方的争议焦点主要为返还保理融资款本息的利率标准、计息方式和实现债权费用的负担问题。</w:t>
      </w:r>
    </w:p>
    <w:p>
      <w:pPr>
        <w:keepNext w:val="0"/>
        <w:keepLines w:val="0"/>
        <w:pageBreakBefore w:val="0"/>
        <w:kinsoku/>
        <w:wordWrap/>
        <w:overflowPunct/>
        <w:topLinePunct w:val="0"/>
        <w:autoSpaceDE/>
        <w:autoSpaceDN/>
        <w:bidi w:val="0"/>
        <w:adjustRightInd/>
        <w:snapToGrid/>
        <w:spacing w:line="560" w:lineRule="exact"/>
        <w:ind w:leftChars="0" w:firstLine="680" w:firstLineChars="200"/>
        <w:jc w:val="both"/>
        <w:textAlignment w:val="baseline"/>
        <w:rPr>
          <w:rFonts w:hint="eastAsia" w:ascii="仿宋" w:hAnsi="仿宋" w:eastAsia="仿宋" w:cs="仿宋"/>
          <w:b/>
          <w:bCs/>
          <w:color w:val="auto"/>
          <w:sz w:val="32"/>
          <w:szCs w:val="32"/>
          <w:lang w:eastAsia="zh-CN"/>
        </w:rPr>
      </w:pPr>
      <w:r>
        <w:rPr>
          <w:rFonts w:hint="eastAsia" w:ascii="仿宋" w:hAnsi="仿宋" w:eastAsia="仿宋" w:cs="仿宋"/>
          <w:b/>
          <w:bCs/>
          <w:color w:val="auto"/>
          <w:sz w:val="32"/>
          <w:szCs w:val="32"/>
          <w:lang w:eastAsia="zh-CN"/>
        </w:rPr>
        <w:t>【法理依据】</w:t>
      </w:r>
    </w:p>
    <w:p>
      <w:pPr>
        <w:ind w:firstLine="680" w:firstLineChars="200"/>
        <w:rPr>
          <w:rFonts w:hint="eastAsia" w:ascii="宋体" w:hAnsi="宋体"/>
        </w:rPr>
      </w:pPr>
      <w:r>
        <w:rPr>
          <w:rFonts w:hint="eastAsia" w:ascii="宋体" w:hAnsi="宋体"/>
        </w:rPr>
        <w:t>根据《民法典》第七百六十一条规定，保理合同是应收账款债权人将现有的或者将有的应收账款转让给保理人，保理人提供资金融通、应收账款管理或者催收、应收账款债务人付款担保等服务的合同。本案中，保理公司与实业发展公司签订的《池保理业务合同（有追）》经实业发展公司股东会同意，系双方真实意思表示，并且实业发展公司向保理公司转让其对深圳某投资咨询公司基于建设工程施工合同享有的应收账款，已向深圳某投资咨询公司送达《应收账款转让通知书》，该保理合同内容不违反法律禁止性规定，形式上履行了必要的通知义务，合法有效。另，保理公司与某集团（深圳）公司、深圳某房地产开发公司签订的《最高额连带责任保证合同》内容不违反法律禁止性规定，合法有效。因本案保理公司与实业发展公司签订的系有追索权的保理合同，根据《中华人民共和国民法典》第七百六十六条规定，保理人可以向应收账款债权人主张返还保理融资款本息或者回购应收账款债权，也可以向应收账款债务人主张应收账款债权。故，保理公司有权同时起诉应收账款债务人和债权人，某集团（深圳）公司、深圳某房地产开发公司应当按照保证合同约定承担连带清偿责任。</w:t>
      </w:r>
    </w:p>
    <w:p>
      <w:pPr>
        <w:keepNext w:val="0"/>
        <w:keepLines w:val="0"/>
        <w:pageBreakBefore w:val="0"/>
        <w:kinsoku/>
        <w:wordWrap/>
        <w:overflowPunct/>
        <w:topLinePunct w:val="0"/>
        <w:autoSpaceDE/>
        <w:autoSpaceDN/>
        <w:bidi w:val="0"/>
        <w:adjustRightInd/>
        <w:snapToGrid/>
        <w:spacing w:line="560" w:lineRule="exact"/>
        <w:ind w:leftChars="0" w:firstLine="680" w:firstLineChars="200"/>
        <w:jc w:val="both"/>
        <w:textAlignment w:val="baseline"/>
        <w:rPr>
          <w:rFonts w:hint="eastAsia" w:ascii="仿宋" w:hAnsi="仿宋" w:eastAsia="仿宋" w:cs="仿宋"/>
          <w:b/>
          <w:bCs/>
          <w:color w:val="auto"/>
          <w:sz w:val="32"/>
          <w:szCs w:val="32"/>
          <w:lang w:eastAsia="zh-CN"/>
        </w:rPr>
      </w:pPr>
      <w:r>
        <w:rPr>
          <w:rFonts w:hint="eastAsia" w:ascii="仿宋" w:hAnsi="仿宋" w:eastAsia="仿宋" w:cs="仿宋"/>
          <w:b/>
          <w:bCs/>
          <w:color w:val="auto"/>
          <w:sz w:val="32"/>
          <w:szCs w:val="32"/>
          <w:lang w:eastAsia="zh-CN"/>
        </w:rPr>
        <w:t>【</w:t>
      </w:r>
      <w:r>
        <w:rPr>
          <w:rFonts w:hint="eastAsia" w:ascii="仿宋" w:hAnsi="仿宋" w:eastAsia="仿宋" w:cs="仿宋"/>
          <w:b/>
          <w:bCs/>
          <w:sz w:val="32"/>
          <w:szCs w:val="32"/>
          <w:lang w:eastAsia="zh-CN"/>
        </w:rPr>
        <w:t>调解过程</w:t>
      </w:r>
      <w:r>
        <w:rPr>
          <w:rFonts w:hint="eastAsia" w:ascii="仿宋" w:hAnsi="仿宋" w:eastAsia="仿宋" w:cs="仿宋"/>
          <w:b/>
          <w:bCs/>
          <w:color w:val="auto"/>
          <w:sz w:val="32"/>
          <w:szCs w:val="32"/>
          <w:lang w:eastAsia="zh-CN"/>
        </w:rPr>
        <w:t>】</w:t>
      </w:r>
    </w:p>
    <w:p>
      <w:pPr>
        <w:ind w:firstLine="680" w:firstLineChars="200"/>
        <w:rPr>
          <w:rFonts w:hint="eastAsia" w:ascii="宋体" w:hAnsi="宋体"/>
        </w:rPr>
      </w:pPr>
      <w:r>
        <w:rPr>
          <w:rFonts w:hint="eastAsia" w:ascii="宋体" w:hAnsi="宋体"/>
        </w:rPr>
        <w:t>此案多名当事人住所均在外地，且涉诉企业为侨资企业，对企业的诉讼记录、信用记录非常看重，希望以非诉讼方式解纷。综合考虑当事人调解意愿、纠纷情况，法院在征得各方当事人同意并与当地侨联充分沟通后，将纠纷</w:t>
      </w:r>
      <w:r>
        <w:rPr>
          <w:rFonts w:hint="default"/>
        </w:rPr>
        <w:t>委托</w:t>
      </w:r>
      <w:r>
        <w:rPr>
          <w:rFonts w:hint="eastAsia" w:ascii="宋体" w:hAnsi="宋体"/>
        </w:rPr>
        <w:t>给侨联调解组织进行在线调解，同时指派法官指导</w:t>
      </w:r>
      <w:r>
        <w:rPr>
          <w:rFonts w:hint="eastAsia"/>
          <w:lang w:val="en-US" w:eastAsia="zh-CN"/>
        </w:rPr>
        <w:t>调解</w:t>
      </w:r>
      <w:r>
        <w:rPr>
          <w:rFonts w:hint="eastAsia" w:ascii="宋体" w:hAnsi="宋体"/>
        </w:rPr>
        <w:t>员开展工作。</w:t>
      </w:r>
      <w:r>
        <w:rPr>
          <w:rFonts w:hint="eastAsia"/>
          <w:lang w:val="en-US" w:eastAsia="zh-CN"/>
        </w:rPr>
        <w:t>调解</w:t>
      </w:r>
      <w:r>
        <w:rPr>
          <w:rFonts w:hint="eastAsia" w:ascii="宋体" w:hAnsi="宋体"/>
        </w:rPr>
        <w:t>员充分研究案情后，精心开展调解工作。</w:t>
      </w:r>
    </w:p>
    <w:p>
      <w:pPr>
        <w:ind w:firstLine="680" w:firstLineChars="200"/>
        <w:rPr>
          <w:rFonts w:hint="eastAsia" w:ascii="宋体" w:hAnsi="宋体"/>
        </w:rPr>
      </w:pPr>
      <w:r>
        <w:rPr>
          <w:rFonts w:hint="eastAsia" w:ascii="宋体" w:hAnsi="宋体"/>
        </w:rPr>
        <w:t>第一步：摸清各方诉求底线。调解法官向当事人详细介绍了最高人民法院“总对总”合作单位及多元化解机制。市侨联调解员运用当事人熟悉的商事思维逻辑和语言风格展开交流，沟通过程十分顺畅。法官协同调解员在调解过程中了解到各方诉求，梳理争议焦点，组织各方当事人围绕利率标准、计息方式和诉讼费用承担等问题充分发表调解意见，明晰各方核心利益需求和底线。</w:t>
      </w:r>
    </w:p>
    <w:p>
      <w:pPr>
        <w:ind w:firstLine="680" w:firstLineChars="200"/>
        <w:rPr>
          <w:rFonts w:hint="eastAsia" w:ascii="宋体" w:hAnsi="宋体"/>
        </w:rPr>
      </w:pPr>
      <w:r>
        <w:rPr>
          <w:rFonts w:hint="eastAsia" w:ascii="宋体" w:hAnsi="宋体"/>
        </w:rPr>
        <w:t>第二步：找准利益平衡点。调解员引导各方在保持自身利益底线的基础上放弃部分次要利益，在冲突中寻找共赢点。各方当事人同意在考虑到自身利益并避免非赢即输的情况下解决争议。经过反复沟通，各方重新调整了核心利益诉求，被告同意负担诉讼费用，但坚持应扣除已付利息部分并相应调整计息时间，原告则接受了被告利息分段计算和款项分期支付的请求，各方就调解基本方案达成共识。</w:t>
      </w:r>
    </w:p>
    <w:p>
      <w:pPr>
        <w:ind w:firstLine="680" w:firstLineChars="200"/>
        <w:rPr>
          <w:rFonts w:hint="eastAsia" w:ascii="宋体" w:hAnsi="宋体"/>
        </w:rPr>
      </w:pPr>
      <w:r>
        <w:rPr>
          <w:rFonts w:hint="eastAsia" w:ascii="宋体" w:hAnsi="宋体"/>
        </w:rPr>
        <w:t>第三步：量身制作调解模板。在草拟调解协议时，因各方提出的调解方案各不相同，各方在利息计算方式、违约金、让步金额等方面仍存在不小争议，细节方面分歧点较多，且各方对相关争议需仔细核算并完善公司内部审批流程，无法在调解平台上当场达成一致。指导法官协同调解员根据全案情况和调解进度，精心设计了一份填空式调解方案模板，并向各方当事人进行推送。</w:t>
      </w:r>
    </w:p>
    <w:p>
      <w:pPr>
        <w:ind w:firstLine="680" w:firstLineChars="200"/>
        <w:rPr>
          <w:rFonts w:hint="eastAsia" w:ascii="宋体" w:hAnsi="宋体"/>
        </w:rPr>
      </w:pPr>
      <w:r>
        <w:rPr>
          <w:rFonts w:hint="eastAsia" w:ascii="宋体" w:hAnsi="宋体"/>
        </w:rPr>
        <w:t>第四步：线上达成协议。依托该调解方案模板，各方当事人明确了无争议事实及条款，并就空白处的主要分歧点展开协商。</w:t>
      </w:r>
      <w:r>
        <w:rPr>
          <w:rFonts w:hint="default"/>
        </w:rPr>
        <w:t>调解员</w:t>
      </w:r>
      <w:r>
        <w:rPr>
          <w:rFonts w:hint="eastAsia" w:ascii="宋体" w:hAnsi="宋体"/>
        </w:rPr>
        <w:t>建立微信调解群，组织各方在该微信群内充分发表调解意见、通报公司内部决策进度。经反复磋商仅存的计息时间和利率标准争议，各方当事人在人民法院调解平台在线签字确认调解协议。法院根据当事人达成的调解协议，及时出具了诉前调解书，仅历时20余天就实现了调解司法确认。</w:t>
      </w:r>
    </w:p>
    <w:p>
      <w:pPr>
        <w:keepNext w:val="0"/>
        <w:keepLines w:val="0"/>
        <w:pageBreakBefore w:val="0"/>
        <w:kinsoku/>
        <w:wordWrap/>
        <w:overflowPunct/>
        <w:topLinePunct w:val="0"/>
        <w:autoSpaceDE/>
        <w:autoSpaceDN/>
        <w:bidi w:val="0"/>
        <w:adjustRightInd/>
        <w:snapToGrid/>
        <w:spacing w:line="560" w:lineRule="exact"/>
        <w:ind w:leftChars="0" w:firstLine="680" w:firstLineChars="200"/>
        <w:jc w:val="both"/>
        <w:textAlignment w:val="baseline"/>
        <w:rPr>
          <w:rFonts w:hint="eastAsia" w:ascii="仿宋" w:hAnsi="仿宋" w:eastAsia="仿宋" w:cs="仿宋"/>
          <w:b/>
          <w:bCs/>
          <w:color w:val="auto"/>
          <w:sz w:val="32"/>
          <w:szCs w:val="32"/>
          <w:lang w:eastAsia="zh-CN"/>
        </w:rPr>
      </w:pPr>
      <w:r>
        <w:rPr>
          <w:rFonts w:hint="eastAsia" w:ascii="仿宋" w:hAnsi="仿宋" w:eastAsia="仿宋" w:cs="仿宋"/>
          <w:b/>
          <w:bCs/>
          <w:color w:val="auto"/>
          <w:sz w:val="32"/>
          <w:szCs w:val="32"/>
          <w:lang w:eastAsia="zh-CN"/>
        </w:rPr>
        <w:t>【典型意义】</w:t>
      </w:r>
    </w:p>
    <w:p>
      <w:pPr>
        <w:ind w:firstLine="680" w:firstLineChars="200"/>
        <w:rPr>
          <w:rFonts w:ascii="宋体" w:hAnsi="宋体"/>
          <w:sz w:val="28"/>
          <w:szCs w:val="28"/>
        </w:rPr>
      </w:pPr>
      <w:r>
        <w:rPr>
          <w:rFonts w:hint="eastAsia" w:ascii="宋体" w:hAnsi="宋体"/>
        </w:rPr>
        <w:t>保理合同纠纷往往涉案主体较多，通过诉讼方式解决保理合同纠纷费时费力，矛盾纠纷难以及时化解。本案依托人民法院调解平台，</w:t>
      </w:r>
      <w:r>
        <w:rPr>
          <w:rFonts w:hint="default"/>
        </w:rPr>
        <w:t>重庆</w:t>
      </w:r>
      <w:r>
        <w:rPr>
          <w:rFonts w:hint="eastAsia" w:ascii="宋体" w:hAnsi="宋体"/>
        </w:rPr>
        <w:t>市</w:t>
      </w:r>
      <w:r>
        <w:rPr>
          <w:rFonts w:hint="default"/>
        </w:rPr>
        <w:t>第</w:t>
      </w:r>
      <w:r>
        <w:rPr>
          <w:rFonts w:hint="eastAsia" w:ascii="宋体" w:hAnsi="宋体"/>
        </w:rPr>
        <w:t>五</w:t>
      </w:r>
      <w:r>
        <w:rPr>
          <w:rFonts w:hint="default"/>
        </w:rPr>
        <w:t>中级人民</w:t>
      </w:r>
      <w:r>
        <w:rPr>
          <w:rFonts w:hint="eastAsia" w:ascii="宋体" w:hAnsi="宋体"/>
        </w:rPr>
        <w:t>法院</w:t>
      </w:r>
      <w:r>
        <w:rPr>
          <w:rFonts w:hint="default"/>
        </w:rPr>
        <w:t>委托</w:t>
      </w:r>
      <w:r>
        <w:rPr>
          <w:rFonts w:hint="eastAsia" w:ascii="宋体" w:hAnsi="宋体"/>
        </w:rPr>
        <w:t>市侨联法顾委进行线上调解，为推动涉侨保理合同纠纷多元化解、依法支持企业通过新类型担保方式拓宽融资渠道提供了实践样本。本案调解过程中，不仅充分借助了侨联调解员专业性、权威性进行协调协商，起到“行内人管行内事，涉侨纠纷侨联解”的独特效果，还吸纳了市人大代表参与解纷，进一步提升了调解工作质效。同时，本案还得到了《人民日报》《人民法院报》等媒体宣传报道，在达到了“化解一件、教育一片”的示范效果的同时</w:t>
      </w:r>
      <w:r>
        <w:rPr>
          <w:rFonts w:hint="default"/>
        </w:rPr>
        <w:t>，也</w:t>
      </w:r>
      <w:bookmarkStart w:id="0" w:name="_GoBack"/>
      <w:bookmarkEnd w:id="0"/>
      <w:r>
        <w:rPr>
          <w:rFonts w:hint="eastAsia" w:ascii="宋体" w:hAnsi="宋体"/>
        </w:rPr>
        <w:t>宣传了法治化便利化营商环境。</w:t>
      </w:r>
    </w:p>
    <w:sectPr>
      <w:footerReference r:id="rId3" w:type="default"/>
      <w:footerReference r:id="rId4" w:type="even"/>
      <w:pgSz w:w="11906" w:h="16838"/>
      <w:pgMar w:top="2098" w:right="1474" w:bottom="1985" w:left="1588" w:header="851" w:footer="1400" w:gutter="0"/>
      <w:cols w:space="425" w:num="1"/>
      <w:titlePg/>
      <w:docGrid w:type="linesAndChars" w:linePitch="579" w:charSpace="412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panose1 w:val="02010600030101010101"/>
    <w:charset w:val="7A"/>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altName w:val="方正宋体S-超大字符集"/>
    <w:panose1 w:val="02000000000000000000"/>
    <w:charset w:val="86"/>
    <w:family w:val="auto"/>
    <w:pitch w:val="default"/>
    <w:sig w:usb0="00000001" w:usb1="08000000" w:usb2="00000000" w:usb3="00000000" w:csb0="00040000" w:csb1="00000000"/>
  </w:font>
  <w:font w:name="方正黑体_GBK">
    <w:altName w:val="思源黑体 CN"/>
    <w:panose1 w:val="02000000000000000000"/>
    <w:charset w:val="00"/>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panose1 w:val="02000000000000000000"/>
    <w:charset w:val="86"/>
    <w:family w:val="script"/>
    <w:pitch w:val="default"/>
    <w:sig w:usb0="00000001" w:usb1="08000000" w:usb2="00000000" w:usb3="00000000" w:csb0="00040000" w:csb1="00000000"/>
  </w:font>
  <w:font w:name="思源黑体 CN">
    <w:panose1 w:val="020B0600000000000000"/>
    <w:charset w:val="86"/>
    <w:family w:val="auto"/>
    <w:pitch w:val="default"/>
    <w:sig w:usb0="20000003" w:usb1="2ADF3C10" w:usb2="00000016" w:usb3="00000000" w:csb0="6006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320" w:rightChars="100"/>
      <w:jc w:val="right"/>
      <w:rPr>
        <w:rFonts w:asciiTheme="minorEastAsia" w:hAnsiTheme="minorEastAsia" w:eastAsiaTheme="minorEastAsia"/>
        <w:sz w:val="28"/>
      </w:rPr>
    </w:pPr>
    <w:r>
      <w:rPr>
        <w:rFonts w:hint="eastAsia" w:asciiTheme="minorEastAsia" w:hAnsiTheme="minorEastAsia" w:eastAsiaTheme="minorEastAsia"/>
        <w:sz w:val="28"/>
      </w:rPr>
      <w:t xml:space="preserve">— </w:t>
    </w:r>
    <w:sdt>
      <w:sdtPr>
        <w:rPr>
          <w:rFonts w:asciiTheme="minorEastAsia" w:hAnsiTheme="minorEastAsia" w:eastAsiaTheme="minorEastAsia"/>
          <w:sz w:val="28"/>
        </w:rPr>
        <w:id w:val="147472908"/>
        <w:docPartObj>
          <w:docPartGallery w:val="autotext"/>
        </w:docPartObj>
      </w:sdtPr>
      <w:sdtEndPr>
        <w:rPr>
          <w:rFonts w:asciiTheme="minorEastAsia" w:hAnsiTheme="minorEastAsia" w:eastAsiaTheme="minorEastAsia"/>
          <w:sz w:val="28"/>
        </w:rPr>
      </w:sdtEndPr>
      <w:sdtContent>
        <w:r>
          <w:rPr>
            <w:rFonts w:asciiTheme="minorEastAsia" w:hAnsiTheme="minorEastAsia" w:eastAsiaTheme="minorEastAsia"/>
            <w:sz w:val="28"/>
          </w:rPr>
          <w:fldChar w:fldCharType="begin"/>
        </w:r>
        <w:r>
          <w:rPr>
            <w:rFonts w:asciiTheme="minorEastAsia" w:hAnsiTheme="minorEastAsia" w:eastAsiaTheme="minorEastAsia"/>
            <w:sz w:val="28"/>
          </w:rPr>
          <w:instrText xml:space="preserve">PAGE   \* MERGEFORMAT</w:instrText>
        </w:r>
        <w:r>
          <w:rPr>
            <w:rFonts w:asciiTheme="minorEastAsia" w:hAnsiTheme="minorEastAsia" w:eastAsiaTheme="minorEastAsia"/>
            <w:sz w:val="28"/>
          </w:rPr>
          <w:fldChar w:fldCharType="separate"/>
        </w:r>
        <w:r>
          <w:rPr>
            <w:rFonts w:asciiTheme="minorEastAsia" w:hAnsiTheme="minorEastAsia" w:eastAsiaTheme="minorEastAsia"/>
            <w:sz w:val="28"/>
            <w:lang w:val="zh-CN"/>
          </w:rPr>
          <w:t>3</w:t>
        </w:r>
        <w:r>
          <w:rPr>
            <w:rFonts w:asciiTheme="minorEastAsia" w:hAnsiTheme="minorEastAsia" w:eastAsiaTheme="minorEastAsia"/>
            <w:sz w:val="28"/>
          </w:rPr>
          <w:fldChar w:fldCharType="end"/>
        </w:r>
        <w:r>
          <w:rPr>
            <w:rFonts w:hint="eastAsia" w:asciiTheme="minorEastAsia" w:hAnsiTheme="minorEastAsia" w:eastAsiaTheme="minorEastAsia"/>
            <w:sz w:val="28"/>
          </w:rPr>
          <w:t xml:space="preserve"> </w:t>
        </w:r>
      </w:sdtContent>
    </w:sdt>
    <w:r>
      <w:rPr>
        <w:rFonts w:hint="eastAsia" w:asciiTheme="minorEastAsia" w:hAnsiTheme="minorEastAsia" w:eastAsiaTheme="minorEastAsia"/>
        <w:sz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left="320" w:leftChars="100"/>
      <w:rPr>
        <w:rFonts w:eastAsia="宋体"/>
        <w:sz w:val="28"/>
      </w:rPr>
    </w:pPr>
    <w:r>
      <w:rPr>
        <w:rFonts w:hint="eastAsia" w:eastAsia="宋体"/>
        <w:sz w:val="28"/>
      </w:rPr>
      <w:t>—</w:t>
    </w:r>
    <w:sdt>
      <w:sdtPr>
        <w:rPr>
          <w:rFonts w:eastAsia="宋体"/>
          <w:sz w:val="28"/>
        </w:rPr>
        <w:id w:val="147467789"/>
        <w:docPartObj>
          <w:docPartGallery w:val="autotext"/>
        </w:docPartObj>
      </w:sdtPr>
      <w:sdtEndPr>
        <w:rPr>
          <w:rFonts w:eastAsia="宋体"/>
          <w:sz w:val="28"/>
        </w:rPr>
      </w:sdtEndPr>
      <w:sdtContent>
        <w:r>
          <w:rPr>
            <w:rFonts w:hint="eastAsia" w:eastAsia="宋体"/>
            <w:sz w:val="28"/>
          </w:rPr>
          <w:t xml:space="preserve"> </w:t>
        </w:r>
        <w:r>
          <w:rPr>
            <w:rFonts w:eastAsia="宋体"/>
            <w:sz w:val="28"/>
          </w:rPr>
          <w:fldChar w:fldCharType="begin"/>
        </w:r>
        <w:r>
          <w:rPr>
            <w:rFonts w:eastAsia="宋体"/>
            <w:sz w:val="28"/>
          </w:rPr>
          <w:instrText xml:space="preserve">PAGE   \* MERGEFORMAT</w:instrText>
        </w:r>
        <w:r>
          <w:rPr>
            <w:rFonts w:eastAsia="宋体"/>
            <w:sz w:val="28"/>
          </w:rPr>
          <w:fldChar w:fldCharType="separate"/>
        </w:r>
        <w:r>
          <w:rPr>
            <w:rFonts w:eastAsia="宋体"/>
            <w:sz w:val="28"/>
            <w:lang w:val="zh-CN"/>
          </w:rPr>
          <w:t>4</w:t>
        </w:r>
        <w:r>
          <w:rPr>
            <w:rFonts w:eastAsia="宋体"/>
            <w:sz w:val="28"/>
          </w:rPr>
          <w:fldChar w:fldCharType="end"/>
        </w:r>
        <w:r>
          <w:rPr>
            <w:rFonts w:hint="eastAsia" w:eastAsia="宋体"/>
            <w:sz w:val="28"/>
          </w:rPr>
          <w:t xml:space="preserve"> —</w:t>
        </w:r>
      </w:sdtContent>
    </w:sdt>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bordersDoNotSurroundHeader w:val="1"/>
  <w:bordersDoNotSurroundFooter w:val="1"/>
  <w:attachedTemplate r:id="rId1"/>
  <w:documentProtection w:enforcement="0"/>
  <w:defaultTabStop w:val="420"/>
  <w:evenAndOddHeaders w:val="1"/>
  <w:drawingGridHorizontalSpacing w:val="170"/>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DBA"/>
    <w:rsid w:val="000344DC"/>
    <w:rsid w:val="00040DF5"/>
    <w:rsid w:val="00062D2B"/>
    <w:rsid w:val="000672E0"/>
    <w:rsid w:val="00097DA7"/>
    <w:rsid w:val="000E45D4"/>
    <w:rsid w:val="0010306B"/>
    <w:rsid w:val="00105DB9"/>
    <w:rsid w:val="0010740F"/>
    <w:rsid w:val="00113D9D"/>
    <w:rsid w:val="00137962"/>
    <w:rsid w:val="0016441F"/>
    <w:rsid w:val="001645DA"/>
    <w:rsid w:val="0019617A"/>
    <w:rsid w:val="001B42DA"/>
    <w:rsid w:val="001B4DBA"/>
    <w:rsid w:val="002024AE"/>
    <w:rsid w:val="0024228E"/>
    <w:rsid w:val="0025519B"/>
    <w:rsid w:val="00297649"/>
    <w:rsid w:val="002A6ADF"/>
    <w:rsid w:val="002F2A29"/>
    <w:rsid w:val="00316ECA"/>
    <w:rsid w:val="0032575A"/>
    <w:rsid w:val="00334D5A"/>
    <w:rsid w:val="00342B45"/>
    <w:rsid w:val="00350D8B"/>
    <w:rsid w:val="00352AC1"/>
    <w:rsid w:val="00360A3B"/>
    <w:rsid w:val="0036400B"/>
    <w:rsid w:val="003752B8"/>
    <w:rsid w:val="0037684B"/>
    <w:rsid w:val="003937A8"/>
    <w:rsid w:val="003A7998"/>
    <w:rsid w:val="003E359D"/>
    <w:rsid w:val="0040020B"/>
    <w:rsid w:val="00413830"/>
    <w:rsid w:val="00414C60"/>
    <w:rsid w:val="00491E63"/>
    <w:rsid w:val="004B7AA6"/>
    <w:rsid w:val="004E4B6E"/>
    <w:rsid w:val="00505EF3"/>
    <w:rsid w:val="005203C5"/>
    <w:rsid w:val="00531DAC"/>
    <w:rsid w:val="005371C1"/>
    <w:rsid w:val="00564720"/>
    <w:rsid w:val="0057535D"/>
    <w:rsid w:val="005A6153"/>
    <w:rsid w:val="005F4F6F"/>
    <w:rsid w:val="00607AE3"/>
    <w:rsid w:val="00612CFD"/>
    <w:rsid w:val="00656548"/>
    <w:rsid w:val="006633C7"/>
    <w:rsid w:val="006E14E7"/>
    <w:rsid w:val="007379B8"/>
    <w:rsid w:val="00737C9A"/>
    <w:rsid w:val="007754A3"/>
    <w:rsid w:val="007C19FF"/>
    <w:rsid w:val="00801387"/>
    <w:rsid w:val="0081356F"/>
    <w:rsid w:val="008337CD"/>
    <w:rsid w:val="00863E3E"/>
    <w:rsid w:val="00877778"/>
    <w:rsid w:val="00887589"/>
    <w:rsid w:val="0089309F"/>
    <w:rsid w:val="008F0DB0"/>
    <w:rsid w:val="00921F4D"/>
    <w:rsid w:val="009576DE"/>
    <w:rsid w:val="00971E7C"/>
    <w:rsid w:val="009A28A4"/>
    <w:rsid w:val="009F246C"/>
    <w:rsid w:val="00A07398"/>
    <w:rsid w:val="00A2730F"/>
    <w:rsid w:val="00A33327"/>
    <w:rsid w:val="00A33399"/>
    <w:rsid w:val="00A817CB"/>
    <w:rsid w:val="00A84F38"/>
    <w:rsid w:val="00AA7121"/>
    <w:rsid w:val="00AB3F9F"/>
    <w:rsid w:val="00AB43EF"/>
    <w:rsid w:val="00AE7C35"/>
    <w:rsid w:val="00AF5427"/>
    <w:rsid w:val="00B07A5D"/>
    <w:rsid w:val="00B07C3E"/>
    <w:rsid w:val="00B25394"/>
    <w:rsid w:val="00B26281"/>
    <w:rsid w:val="00B31A2E"/>
    <w:rsid w:val="00B873B1"/>
    <w:rsid w:val="00B91F04"/>
    <w:rsid w:val="00BD08E0"/>
    <w:rsid w:val="00BE7268"/>
    <w:rsid w:val="00C15066"/>
    <w:rsid w:val="00C42799"/>
    <w:rsid w:val="00C70F1A"/>
    <w:rsid w:val="00C844BA"/>
    <w:rsid w:val="00C973B3"/>
    <w:rsid w:val="00CA368E"/>
    <w:rsid w:val="00CD437E"/>
    <w:rsid w:val="00CD7D01"/>
    <w:rsid w:val="00CE358B"/>
    <w:rsid w:val="00CF515B"/>
    <w:rsid w:val="00D3682A"/>
    <w:rsid w:val="00D666A2"/>
    <w:rsid w:val="00D873FF"/>
    <w:rsid w:val="00D90590"/>
    <w:rsid w:val="00DE055F"/>
    <w:rsid w:val="00E0295D"/>
    <w:rsid w:val="00E038D0"/>
    <w:rsid w:val="00E5531C"/>
    <w:rsid w:val="00E62DBE"/>
    <w:rsid w:val="00EA6AC4"/>
    <w:rsid w:val="00EC250E"/>
    <w:rsid w:val="00EE5F11"/>
    <w:rsid w:val="00F05E6F"/>
    <w:rsid w:val="00F90D8F"/>
    <w:rsid w:val="00FB3BCC"/>
    <w:rsid w:val="00FF5C46"/>
    <w:rsid w:val="13E241E3"/>
    <w:rsid w:val="1DF6B6C5"/>
    <w:rsid w:val="2997BD5E"/>
    <w:rsid w:val="37B94AD5"/>
    <w:rsid w:val="412017EA"/>
    <w:rsid w:val="49F10419"/>
    <w:rsid w:val="4F7B8164"/>
    <w:rsid w:val="4F7E7374"/>
    <w:rsid w:val="573FC51B"/>
    <w:rsid w:val="5D7DCFC4"/>
    <w:rsid w:val="5FB913AE"/>
    <w:rsid w:val="5FFBF9BF"/>
    <w:rsid w:val="672C3C33"/>
    <w:rsid w:val="6E5F5BEC"/>
    <w:rsid w:val="73776E6E"/>
    <w:rsid w:val="7BA79053"/>
    <w:rsid w:val="7BE745B9"/>
    <w:rsid w:val="7BFF0578"/>
    <w:rsid w:val="7CF7C282"/>
    <w:rsid w:val="7D4DB717"/>
    <w:rsid w:val="7ECF6090"/>
    <w:rsid w:val="7F739E06"/>
    <w:rsid w:val="7FD79FD5"/>
    <w:rsid w:val="7FE7AC9F"/>
    <w:rsid w:val="7FFA9FEE"/>
    <w:rsid w:val="7FFE9A7B"/>
    <w:rsid w:val="7FFFF97A"/>
    <w:rsid w:val="B7F24C53"/>
    <w:rsid w:val="C9F7A381"/>
    <w:rsid w:val="CFE3925D"/>
    <w:rsid w:val="DD5E370B"/>
    <w:rsid w:val="DDF78C3A"/>
    <w:rsid w:val="DFF6FC64"/>
    <w:rsid w:val="E2F53410"/>
    <w:rsid w:val="E7FF93AD"/>
    <w:rsid w:val="FBFDB6BB"/>
    <w:rsid w:val="FC3F24A1"/>
    <w:rsid w:val="FEBAA99A"/>
    <w:rsid w:val="FEEE905A"/>
    <w:rsid w:val="FEFEE7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仿宋_GB2312" w:cstheme="minorBidi"/>
      <w:kern w:val="2"/>
      <w:sz w:val="32"/>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basedOn w:val="5"/>
    <w:link w:val="4"/>
    <w:qFormat/>
    <w:uiPriority w:val="99"/>
    <w:rPr>
      <w:rFonts w:ascii="仿宋" w:eastAsia="仿宋"/>
      <w:sz w:val="18"/>
      <w:szCs w:val="18"/>
    </w:rPr>
  </w:style>
  <w:style w:type="character" w:customStyle="1" w:styleId="9">
    <w:name w:val="页脚 Char"/>
    <w:basedOn w:val="5"/>
    <w:link w:val="3"/>
    <w:qFormat/>
    <w:uiPriority w:val="99"/>
    <w:rPr>
      <w:rFonts w:ascii="仿宋" w:eastAsia="仿宋"/>
      <w:sz w:val="18"/>
      <w:szCs w:val="18"/>
    </w:rPr>
  </w:style>
  <w:style w:type="character" w:customStyle="1" w:styleId="10">
    <w:name w:val="批注框文本 Char"/>
    <w:basedOn w:val="5"/>
    <w:link w:val="2"/>
    <w:semiHidden/>
    <w:qFormat/>
    <w:uiPriority w:val="99"/>
    <w:rPr>
      <w:rFonts w:ascii="仿宋" w:eastAsia="仿宋"/>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thtf/C:\home\thtf\C:\Users\qlmsc\AppData\Roaming\Microsoft\Templates\2015092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8FAFD"/>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20150921.dotx</Template>
  <Company>Lenovo</Company>
  <Pages>4</Pages>
  <Words>1988</Words>
  <Characters>2001</Characters>
  <Lines>4</Lines>
  <Paragraphs>1</Paragraphs>
  <TotalTime>29</TotalTime>
  <ScaleCrop>false</ScaleCrop>
  <LinksUpToDate>false</LinksUpToDate>
  <CharactersWithSpaces>2013</CharactersWithSpaces>
  <Application>WPS Office_10.1.0.7492_F1E327BC-269C-435d-A152-05C5408002CA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2015-09-22T17:01:00Z</dcterms:created>
  <dc:creator>qlmsc</dc:creator>
  <cp:lastModifiedBy>thtf</cp:lastModifiedBy>
  <cp:lastPrinted>2025-01-14T01:52:00Z</cp:lastPrinted>
  <dcterms:modified xsi:type="dcterms:W3CDTF">2025-01-21T17:17:50Z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2052-10.1.0.7492</vt:lpwstr>
  </property>
  <property fmtid="{D5CDD505-2E9C-101B-9397-08002B2CF9AE}" pid="3" name="KSOTemplateDocerSaveRecord">
    <vt:lpwstr>eyJoZGlkIjoiY2Q3Y2MzZmFkYWExMWEyYmM1MDA1MjlkZDY3OGFkODUiLCJ1c2VySWQiOiIzMTkyMjkwNzAifQ==</vt:lpwstr>
  </property>
  <property fmtid="{D5CDD505-2E9C-101B-9397-08002B2CF9AE}" pid="4" name="ICV">
    <vt:lpwstr>A51F9B3E40B847C69805290357EFAA74_12</vt:lpwstr>
  </property>
</Properties>
</file>