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</w:t>
      </w:r>
      <w:r>
        <w:rPr>
          <w:rFonts w:ascii="Times New Roman" w:hAnsi="Times New Roman" w:eastAsia="方正小标宋简体"/>
          <w:sz w:val="36"/>
          <w:szCs w:val="36"/>
        </w:rPr>
        <w:t>2</w:t>
      </w:r>
      <w:r>
        <w:rPr>
          <w:rFonts w:hint="eastAsia" w:ascii="Times New Roman" w:hAnsi="Times New Roman" w:eastAsia="方正小标宋简体"/>
          <w:sz w:val="36"/>
          <w:szCs w:val="36"/>
        </w:rPr>
        <w:t>1年第二季度检测单位信用评价结果（二）</w:t>
      </w:r>
    </w:p>
    <w:tbl>
      <w:tblPr>
        <w:tblStyle w:val="3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064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检测单位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河北金涛建设工程质量检测有限公司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北京润宏技术检测有限公司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谱尼测试集团股份有限公司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河北省建筑工程质量检测中心有限公司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保定恒正建筑工程材料检测集团有限公司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保定筑业工程质量检测有限公司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河北道桥工程检测有限公司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河北世纪建筑材料设备检验有限公司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中建路桥集团科技发展有限公司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河北华清环境科技集团股份有限公司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中国建材检验认证集团厦门宏业有限公司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河北博茗检验检测服务有限公司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河北科豪工程检测有限公司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河北从瑞环保科技有限公司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南京皓安环境监测有限公司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上海建科检验有限公司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中宏检验认证集团有限公司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河北天博建设科技有限公司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中国建筑科学研究院有限公司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>
      <w:pPr>
        <w:tabs>
          <w:tab w:val="left" w:pos="650"/>
        </w:tabs>
        <w:spacing w:line="600" w:lineRule="exact"/>
        <w:ind w:right="641"/>
        <w:rPr>
          <w:rFonts w:hint="eastAsia" w:ascii="Times New Roman" w:hAnsi="Times New Roman" w:eastAsia="黑体" w:cs="黑体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注</w:t>
      </w:r>
      <w:r>
        <w:rPr>
          <w:rFonts w:ascii="Times New Roman" w:hAnsi="Times New Roman" w:eastAsia="仿宋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本表</w:t>
      </w:r>
      <w:r>
        <w:rPr>
          <w:rFonts w:ascii="Times New Roman" w:hAnsi="Times New Roman" w:eastAsia="仿宋_GB2312"/>
          <w:sz w:val="28"/>
          <w:szCs w:val="28"/>
        </w:rPr>
        <w:t>所列</w:t>
      </w:r>
      <w:r>
        <w:rPr>
          <w:rFonts w:hint="eastAsia" w:ascii="Times New Roman" w:hAnsi="Times New Roman" w:eastAsia="仿宋_GB2312"/>
          <w:sz w:val="28"/>
          <w:szCs w:val="28"/>
        </w:rPr>
        <w:t>检测单位</w:t>
      </w:r>
      <w:r>
        <w:rPr>
          <w:rFonts w:ascii="Times New Roman" w:hAnsi="Times New Roman" w:eastAsia="仿宋_GB2312"/>
          <w:sz w:val="28"/>
          <w:szCs w:val="28"/>
        </w:rPr>
        <w:t>未在新区范围内</w:t>
      </w:r>
      <w:r>
        <w:rPr>
          <w:rFonts w:hint="eastAsia" w:ascii="Times New Roman" w:hAnsi="Times New Roman" w:eastAsia="仿宋_GB2312"/>
          <w:sz w:val="28"/>
          <w:szCs w:val="28"/>
        </w:rPr>
        <w:t>，直接</w:t>
      </w:r>
      <w:r>
        <w:rPr>
          <w:rFonts w:ascii="Times New Roman" w:hAnsi="Times New Roman" w:eastAsia="仿宋_GB2312"/>
          <w:sz w:val="28"/>
          <w:szCs w:val="28"/>
        </w:rPr>
        <w:t>认定为</w:t>
      </w:r>
      <w:r>
        <w:rPr>
          <w:rFonts w:hint="eastAsia" w:ascii="Times New Roman" w:hAnsi="Times New Roman" w:eastAsia="仿宋_GB2312"/>
          <w:sz w:val="28"/>
          <w:szCs w:val="28"/>
        </w:rPr>
        <w:t>B级</w:t>
      </w:r>
      <w:r>
        <w:rPr>
          <w:rFonts w:ascii="Times New Roman" w:hAnsi="Times New Roman" w:eastAsia="黑体" w:cs="黑体"/>
          <w:kern w:val="0"/>
          <w:sz w:val="32"/>
          <w:szCs w:val="20"/>
        </w:rPr>
        <w:tab/>
      </w:r>
    </w:p>
    <w:p>
      <w:bookmarkStart w:id="0" w:name="_GoBack"/>
      <w:bookmarkEnd w:id="0"/>
    </w:p>
    <w:sectPr>
      <w:footerReference r:id="rId3" w:type="default"/>
      <w:pgSz w:w="11906" w:h="16838"/>
      <w:pgMar w:top="2098" w:right="1134" w:bottom="1985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57D2"/>
    <w:rsid w:val="65C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李</dc:creator>
  <cp:lastModifiedBy>李</cp:lastModifiedBy>
  <dcterms:modified xsi:type="dcterms:W3CDTF">2021-07-29T08:25:54Z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0AC2034E07C34562BF9624B851BDBB47</vt:lpwstr>
  </property>
</Properties>
</file>