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before="156" w:beforeLines="50"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20</w:t>
      </w:r>
      <w:r>
        <w:rPr>
          <w:rFonts w:ascii="Times New Roman" w:hAnsi="Times New Roman" w:eastAsia="方正小标宋简体"/>
          <w:sz w:val="36"/>
          <w:szCs w:val="36"/>
        </w:rPr>
        <w:t>21</w:t>
      </w:r>
      <w:r>
        <w:rPr>
          <w:rFonts w:hint="eastAsia" w:ascii="Times New Roman" w:hAnsi="Times New Roman" w:eastAsia="方正小标宋简体"/>
          <w:sz w:val="36"/>
          <w:szCs w:val="36"/>
        </w:rPr>
        <w:t>年第二季度施工企业信用评价结果（一）</w:t>
      </w:r>
    </w:p>
    <w:bookmarkEnd w:id="0"/>
    <w:tbl>
      <w:tblPr>
        <w:tblStyle w:val="2"/>
        <w:tblW w:w="8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61"/>
        <w:gridCol w:w="159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施工</w:t>
            </w:r>
            <w:r>
              <w:rPr>
                <w:rFonts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赋值分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中交一公局集团有限公司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中铁十六局集团有限公司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296.00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中铁三局集团有限公司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296.00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中铁一局集团有限公司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292.00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中国建筑第八工程局有限公司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中铁北京工程局集团有限公司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中国建筑第二工程局有限公司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289.33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中铁隧道局集团有限公司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中铁十八局集团有限公司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中国建筑第七工程局有限公司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中铁电气化局集团有限公司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中冶天工集团有限公司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中建新疆建工（集团）有限公司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中国建筑第四工程局有限公司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中电建生态环境集团有限公司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284.00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中国建筑第三工程局有限公司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280.00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中电建路桥集团有限公司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276.00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中铁十一局集团有限公司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276.00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河北建工集团有限责任公司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中国建筑一局集团有限公司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中国水利水电第八工程局有限公司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中铁二局集团有限公司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270.67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北京市政建设集团有限责任公司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中交第一航务工程局有限公司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中铁二十局集团有限公司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中国二十冶集团有限公司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上海宝冶集团有限公司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中铁十二局集团建筑安装工程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北京首华建设经营有限公司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中铁建设集团有限公司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268.00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中国建筑第五工程局有限公司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264.00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中国电建市政建设集团有限公司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264.00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中铁十二局集团有限公司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262.67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北京城建集团有限责任公司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中冶建工集团有限公司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中铁上海工程局集团有限公司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中国葛洲坝集团路桥工程有限公司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中铁七局集团有限公司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中建安装集团有限公司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中交第二航务工程局有限公司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中国水利水电第六工程局有限公司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中交第三公路工程局有限公司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天津市管道工程集团有限公司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中石化中原建设工程有限公司 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北京建工集团有限责任公司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中铁建工集团有限公司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中国五冶集团有限公司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中铁二十二局集团有限公司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河北省水利工程局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244.00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安徽水利开发有限公司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244.00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安徽三建工程有限公司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244.00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中国化学工程第四建设有限公司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中国石油管道局工程有限公司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诚通凯胜生态建设有限公司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236.00 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</w:tr>
    </w:tbl>
    <w:p>
      <w:pPr>
        <w:spacing w:after="156" w:afterLines="50" w:line="50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</w:t>
      </w:r>
      <w:r>
        <w:rPr>
          <w:rFonts w:hint="eastAsia" w:ascii="仿宋_GB2312" w:eastAsia="仿宋_GB2312"/>
          <w:sz w:val="28"/>
          <w:szCs w:val="28"/>
        </w:rPr>
        <w:t>：当</w:t>
      </w:r>
      <w:r>
        <w:rPr>
          <w:rFonts w:ascii="仿宋_GB2312" w:eastAsia="仿宋_GB2312"/>
          <w:sz w:val="28"/>
          <w:szCs w:val="28"/>
        </w:rPr>
        <w:t>赋值分数相同时，</w:t>
      </w:r>
      <w:r>
        <w:rPr>
          <w:rFonts w:hint="eastAsia" w:ascii="仿宋_GB2312" w:eastAsia="仿宋_GB2312"/>
          <w:sz w:val="28"/>
          <w:szCs w:val="28"/>
        </w:rPr>
        <w:t>C级</w:t>
      </w:r>
      <w:r>
        <w:rPr>
          <w:rFonts w:ascii="仿宋_GB2312" w:eastAsia="仿宋_GB2312"/>
          <w:sz w:val="28"/>
          <w:szCs w:val="28"/>
        </w:rPr>
        <w:t>企业按照</w:t>
      </w:r>
      <w:r>
        <w:rPr>
          <w:rFonts w:hint="eastAsia" w:ascii="仿宋_GB2312" w:eastAsia="仿宋_GB2312"/>
          <w:sz w:val="28"/>
          <w:szCs w:val="28"/>
        </w:rPr>
        <w:t>施工企业</w:t>
      </w:r>
      <w:r>
        <w:rPr>
          <w:rFonts w:ascii="仿宋_GB2312" w:eastAsia="仿宋_GB2312"/>
          <w:sz w:val="28"/>
          <w:szCs w:val="28"/>
        </w:rPr>
        <w:t>在二级公司的实际得分排序确定，且较大不良行为</w:t>
      </w:r>
      <w:r>
        <w:rPr>
          <w:rFonts w:hint="eastAsia" w:ascii="仿宋_GB2312" w:eastAsia="仿宋_GB2312"/>
          <w:sz w:val="28"/>
          <w:szCs w:val="28"/>
        </w:rPr>
        <w:t>数量多</w:t>
      </w:r>
      <w:r>
        <w:rPr>
          <w:rFonts w:ascii="仿宋_GB2312" w:eastAsia="仿宋_GB2312"/>
          <w:sz w:val="28"/>
          <w:szCs w:val="28"/>
        </w:rPr>
        <w:t>的单位优先被认定为</w:t>
      </w:r>
      <w:r>
        <w:rPr>
          <w:rFonts w:hint="eastAsia" w:ascii="仿宋_GB2312" w:eastAsia="仿宋_GB2312"/>
          <w:sz w:val="28"/>
          <w:szCs w:val="28"/>
        </w:rPr>
        <w:t>C级</w:t>
      </w:r>
      <w:r>
        <w:rPr>
          <w:rFonts w:ascii="仿宋_GB2312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6BFF"/>
    <w:rsid w:val="6F2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李</dc:creator>
  <cp:lastModifiedBy>李</cp:lastModifiedBy>
  <dcterms:modified xsi:type="dcterms:W3CDTF">2021-07-29T08:24:17Z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51868C4CD2644E039895E0CBC957AD16</vt:lpwstr>
  </property>
</Properties>
</file>