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雄安新区企业变更（备案）秒批承诺制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工作方案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为持续深化商事制度改革，进一步转变政府职能，充分发挥市场在资源配置中的决定性作用，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体现雄安新区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先行先试制度优势，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打造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公平、开放、统一、高效的营商环境，加快创建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信用体系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特色示范区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结合新区实际，制定本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贯彻落实党中央、国务院关于全面深化改革的若干决定，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《中共中央 国务院关于支持河北雄安新区全面深化改革和扩大开放的指导意见》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运用现代信息技术，推进政务信息联通共用，提高政务服务信息化、智能化、精准化、便利化水平，让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数据多跑路、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群众少跑腿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进一步降低制度性交易成本、激发市场活力、释放改革红利，促进审批效率提升。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秒批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，即企业通过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互联网提交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备案（变更）登记全程电子化平台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通过数据抓取、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推送至审批业务系统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校验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，实现网上申请、自动审核、即时推送审批结果。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承诺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企业对登记机关的告知内容已经知晓，并保证按照法律、法规及相关规章制度所规定的条件、标准和要求履行的真实意思表示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变更（备案）秒批承诺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以下简称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秒批承诺制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，属于在企业变更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（备案）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登记传统申报方式基础上进行的探索和创新，是在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告知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承诺基础上对审批流程的优化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适用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秒批承诺制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企业变更（备案）登记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事项条件：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原则上限于形式审查，通过事中事后监管能够纠正不符合审批条件的行为，且不会产生严重后果；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知晓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登记机关告知后，可以自行判断申请变更（备案）事项是否满足法定条件、标准和要求；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涉及企业重要利益的变更（备案）事项暂不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适用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秒批承诺制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三、操作程序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（一）提出申请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登录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雄安新区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变更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（备案）登记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全程电子化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系统，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向登记机关提出申请。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（二）一次性告知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登记机关以告知书形式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，通过全程电子化系统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告知以下内容：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企业变更（备案）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登记审批依据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企业变更（备案）秒批承诺制填报标准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spacing w:line="592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3.企业变更（备案）秒批承诺制审查方式；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.企业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作出承诺的法律效力，以及作出不实承诺和违背承诺需要承担的法律后果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（三）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承诺内容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认真阅读告知书，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对以下内容作出承诺：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所提交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材料和填报信息真实、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准确、完整、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合法有效，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无任何伪造、篡改、隐瞒等虚假成分；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已知晓登记机关告知的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全部内容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，并按照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法定条件和要求进行了自查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符合登记机关告知的法定条件、标准和要求，且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不含有损国家、社会公共利益或者违背公序良俗、有其他不良影响的内容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3.所有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盖章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真实意愿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表达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保证所做承诺真实、合法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并愿意依法承担作出不实承诺和违反承诺的法律责任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不愿意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出承诺的，不适用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秒批承诺制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</w:rPr>
        <w:t>自动审核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完成电子签名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提交变更（备案）申请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变更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（备案）登记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全程电子化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系统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通过数据抓取、实时信息共享，审批系统自动校验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检验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成功即直接秒批通过，无需经过后台人工审核，审核结果即时反馈至申请端。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（一）梳理公布目录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第一批适用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秒批承诺制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审批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企业变更(备案)事项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风险小、易操作的联络员、董事、监事、经理备案业务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。企业登记机关负责升级企业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变更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（备案）登记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全程电子化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系统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，及时上线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，并根据实际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运行情况扩大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秒批承诺制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的适用事项。</w:t>
      </w: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2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加强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后续</w:t>
      </w:r>
      <w:r>
        <w:rPr>
          <w:rFonts w:hint="default" w:ascii="Times New Roman" w:hAnsi="Times New Roman" w:eastAsia="楷体" w:cs="Times New Roman"/>
          <w:sz w:val="32"/>
          <w:szCs w:val="32"/>
        </w:rPr>
        <w:t>监管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市场监管部门依照法定职责依法履行监管职责，落实监管责任。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对于依据本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方案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变更（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备案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，纳入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双随机、一公开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抽查重点范围，提高抽查比例。公民、法人或者其他组织向市场监管部门举报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的实际情况与承诺内容不符的，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经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市场监管部门核查属实的，依法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予以处置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。</w:t>
      </w:r>
    </w:p>
    <w:p>
      <w:pPr>
        <w:pStyle w:val="15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2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（三）完善司法保障。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变更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备案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登记争议引发民事纠纷的，当事人应当依法向人民法院提起民事诉讼，寻求司法救济。当事人以登记机关按照本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方案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办理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变更（备案）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登记未尽审查责任提起行政诉讼的，人民法院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提高思想认识。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秒批承诺制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是促进雄安新区企业变更（备案）登记提速增效、优化营商环境的重要举措，可以降低企业审批成本和政府人力成本，提升审批效率，实现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零跑腿、零排队、不见面、全自动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的政务服务新模式。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从思想上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高度重视，切实树立大局意识、责任意识和担当意识，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对照工作任务认真研究，拿出举措抓实落地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</w:rPr>
        <w:t>积极宣传引导。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各相关部门要大胆探索、勇于创新，总结提炼推广过程中形成的好做法、好经验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充分利用报刊、电视、网络等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媒体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，加强对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秒批承诺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的宣传引导，及时回应社会各界关注的热点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问题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，广泛引导市场主体诚信守诺，在全社会形成了解、支持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秒批承诺制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舆论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声势和氛围。</w:t>
      </w:r>
    </w:p>
    <w:p>
      <w:pPr>
        <w:pStyle w:val="15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2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加强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审管联动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登记机关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及时将通过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秒批承诺制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办理的企业信息共享至市场监管部门，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积极会同市场监管部门建立健全协同监管工作机制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提交虚假材料或者采取其他欺诈手段隐瞒重要事实，取得登记的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市场监管部门依法作出处理，登记机关给予配合。</w:t>
      </w:r>
    </w:p>
    <w:p>
      <w:pPr>
        <w:pStyle w:val="15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2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（四）纳入容错机制</w:t>
      </w:r>
      <w:r>
        <w:rPr>
          <w:rFonts w:hint="default" w:ascii="Times New Roman" w:hAnsi="Times New Roman" w:cs="Times New Roman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登记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、监管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工作人员按照本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方案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履行职责且未牟取非法利益的，应当视为履行审慎勤勉尽责义务，纳入雄安新区鼓励改革创新激励担当作为容错纠错机制。</w:t>
      </w: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2" w:lineRule="exact"/>
        <w:contextualSpacing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2" w:lineRule="exact"/>
        <w:contextualSpacing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企业变更（备案）秒批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告知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书</w:t>
      </w: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2" w:lineRule="exact"/>
        <w:contextualSpacing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企业变更（备案）秒批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承诺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书</w:t>
      </w: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center"/>
        <w:textAlignment w:val="auto"/>
        <w:rPr>
          <w:rStyle w:val="10"/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企业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变更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（备案）秒批</w:t>
      </w:r>
      <w:r>
        <w:rPr>
          <w:rStyle w:val="10"/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告知书</w:t>
      </w: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Style w:val="10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</w:pP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Style w:val="10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</w:pPr>
      <w:r>
        <w:rPr>
          <w:rStyle w:val="10"/>
          <w:rFonts w:hint="default" w:ascii="Times New Roman" w:hAnsi="Times New Roman" w:eastAsia="仿宋_GB2312" w:cs="Times New Roman"/>
          <w:b w:val="0"/>
          <w:color w:val="000000"/>
          <w:sz w:val="32"/>
          <w:szCs w:val="32"/>
          <w:lang w:val="en-US" w:eastAsia="zh-CN"/>
        </w:rPr>
        <w:t xml:space="preserve"> </w:t>
      </w:r>
      <w:r>
        <w:rPr>
          <w:rStyle w:val="10"/>
          <w:rFonts w:hint="default" w:ascii="Times New Roman" w:hAnsi="Times New Roman" w:eastAsia="仿宋_GB2312" w:cs="Times New Roman"/>
          <w:b w:val="0"/>
          <w:color w:val="000000"/>
          <w:sz w:val="32"/>
          <w:szCs w:val="32"/>
          <w:u w:val="single"/>
          <w:lang w:val="en-US" w:eastAsia="zh-CN"/>
        </w:rPr>
        <w:t xml:space="preserve">                            （企业名称）</w:t>
      </w:r>
      <w:r>
        <w:rPr>
          <w:rStyle w:val="10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  <w:t>：</w:t>
      </w: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Style w:val="10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</w:pP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登记机关就通过</w:t>
      </w:r>
      <w:r>
        <w:rPr>
          <w:rStyle w:val="10"/>
          <w:rFonts w:hint="eastAsia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“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变更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eastAsia="zh-CN"/>
        </w:rPr>
        <w:t>（备案）秒批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承诺制</w:t>
      </w:r>
      <w:r>
        <w:rPr>
          <w:rStyle w:val="10"/>
          <w:rFonts w:hint="eastAsia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”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办理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企业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变更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eastAsia="zh-CN"/>
        </w:rPr>
        <w:t>（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备案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eastAsia="zh-CN"/>
        </w:rPr>
        <w:t>）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登记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事项告知如下</w:t>
      </w:r>
      <w:r>
        <w:rPr>
          <w:rStyle w:val="10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  <w:t>：</w:t>
      </w: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Style w:val="10"/>
          <w:rFonts w:hint="default" w:ascii="Times New Roman" w:hAnsi="Times New Roman" w:eastAsia="黑体" w:cs="Times New Roman"/>
          <w:b w:val="0"/>
          <w:color w:val="auto"/>
          <w:sz w:val="32"/>
          <w:szCs w:val="32"/>
        </w:rPr>
        <w:t>一、</w:t>
      </w:r>
      <w:r>
        <w:rPr>
          <w:rStyle w:val="10"/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-US" w:eastAsia="zh-CN"/>
        </w:rPr>
        <w:t>企业</w:t>
      </w:r>
      <w:r>
        <w:rPr>
          <w:rStyle w:val="10"/>
          <w:rFonts w:hint="default" w:ascii="Times New Roman" w:hAnsi="Times New Roman" w:eastAsia="黑体" w:cs="Times New Roman"/>
          <w:b w:val="0"/>
          <w:color w:val="auto"/>
          <w:sz w:val="32"/>
          <w:szCs w:val="32"/>
        </w:rPr>
        <w:t>变更</w:t>
      </w:r>
      <w:r>
        <w:rPr>
          <w:rStyle w:val="10"/>
          <w:rFonts w:hint="default" w:ascii="Times New Roman" w:hAnsi="Times New Roman" w:eastAsia="黑体" w:cs="Times New Roman"/>
          <w:b w:val="0"/>
          <w:color w:val="auto"/>
          <w:sz w:val="32"/>
          <w:szCs w:val="32"/>
          <w:lang w:eastAsia="zh-CN"/>
        </w:rPr>
        <w:t>（</w:t>
      </w:r>
      <w:r>
        <w:rPr>
          <w:rStyle w:val="10"/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-US" w:eastAsia="zh-CN"/>
        </w:rPr>
        <w:t>备案</w:t>
      </w:r>
      <w:r>
        <w:rPr>
          <w:rStyle w:val="10"/>
          <w:rFonts w:hint="default" w:ascii="Times New Roman" w:hAnsi="Times New Roman" w:eastAsia="黑体" w:cs="Times New Roman"/>
          <w:b w:val="0"/>
          <w:color w:val="auto"/>
          <w:sz w:val="32"/>
          <w:szCs w:val="32"/>
          <w:lang w:eastAsia="zh-CN"/>
        </w:rPr>
        <w:t>）</w:t>
      </w:r>
      <w:r>
        <w:rPr>
          <w:rStyle w:val="10"/>
          <w:rFonts w:hint="default" w:ascii="Times New Roman" w:hAnsi="Times New Roman" w:eastAsia="黑体" w:cs="Times New Roman"/>
          <w:b w:val="0"/>
          <w:color w:val="auto"/>
          <w:sz w:val="32"/>
          <w:szCs w:val="32"/>
        </w:rPr>
        <w:t>登记审批依据</w:t>
      </w: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《中华人民共和国行政许可法》《中华人民共和国公司法》《公司登记管理条例》等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企业登记相关法律法规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7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10"/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-US" w:eastAsia="zh-CN"/>
        </w:rPr>
        <w:t>二、企业变更（备案）秒批承诺制填报标准</w:t>
      </w:r>
    </w:p>
    <w:p>
      <w:pPr>
        <w:pStyle w:val="7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Style w:val="10"/>
          <w:rFonts w:hint="default" w:ascii="Times New Roman" w:hAnsi="Times New Roman" w:eastAsia="黑体" w:cs="Times New Roman"/>
          <w:b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应确保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所提交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材料和填报信息真实、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准确、完整、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合法有效，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无任何伪造、篡改、隐瞒等虚假成分。</w:t>
      </w: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Style w:val="10"/>
          <w:rFonts w:hint="default" w:ascii="Times New Roman" w:hAnsi="Times New Roman" w:eastAsia="黑体" w:cs="Times New Roman"/>
          <w:b w:val="0"/>
          <w:color w:val="auto"/>
          <w:sz w:val="32"/>
          <w:szCs w:val="32"/>
        </w:rPr>
      </w:pPr>
      <w:r>
        <w:rPr>
          <w:rStyle w:val="10"/>
          <w:rFonts w:hint="default" w:ascii="Times New Roman" w:hAnsi="Times New Roman" w:eastAsia="黑体" w:cs="Times New Roman"/>
          <w:b w:val="0"/>
          <w:color w:val="auto"/>
          <w:sz w:val="32"/>
          <w:szCs w:val="32"/>
        </w:rPr>
        <w:t>三、</w:t>
      </w:r>
      <w:r>
        <w:rPr>
          <w:rStyle w:val="10"/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-US" w:eastAsia="zh-CN"/>
        </w:rPr>
        <w:t>企业变更（备案）秒批承诺制</w:t>
      </w:r>
      <w:r>
        <w:rPr>
          <w:rStyle w:val="10"/>
          <w:rFonts w:hint="default" w:ascii="Times New Roman" w:hAnsi="Times New Roman" w:eastAsia="黑体" w:cs="Times New Roman"/>
          <w:b w:val="0"/>
          <w:color w:val="auto"/>
          <w:sz w:val="32"/>
          <w:szCs w:val="32"/>
        </w:rPr>
        <w:t>审查方式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根据《国务院关于印发注册资本登记制度改革方案的通知》相关规定，尊重市场主体民事权利，登记机关对企业登记环节中的申请材料实行形式审查，在总结以往审批办事经验，辅之以流程管理、数据共享的基础上形成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秒批承诺制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，通过对审批服务的条件、环节、流程等要素采取标准化管理，实现全程数字化办理、无人工干预，确保审批结果公平、公正。</w:t>
      </w: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Style w:val="10"/>
          <w:rFonts w:hint="default" w:ascii="Times New Roman" w:hAnsi="Times New Roman" w:eastAsia="黑体" w:cs="Times New Roman"/>
          <w:b w:val="0"/>
          <w:color w:val="auto"/>
          <w:sz w:val="32"/>
          <w:szCs w:val="32"/>
        </w:rPr>
      </w:pPr>
      <w:r>
        <w:rPr>
          <w:rStyle w:val="10"/>
          <w:rFonts w:hint="default" w:ascii="Times New Roman" w:hAnsi="Times New Roman" w:eastAsia="黑体" w:cs="Times New Roman"/>
          <w:b w:val="0"/>
          <w:color w:val="auto"/>
          <w:sz w:val="32"/>
          <w:szCs w:val="32"/>
        </w:rPr>
        <w:t>四、</w:t>
      </w:r>
      <w:r>
        <w:rPr>
          <w:rStyle w:val="10"/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-US" w:eastAsia="zh-CN"/>
        </w:rPr>
        <w:t>企业</w:t>
      </w:r>
      <w:r>
        <w:rPr>
          <w:rStyle w:val="10"/>
          <w:rFonts w:hint="default" w:ascii="Times New Roman" w:hAnsi="Times New Roman" w:eastAsia="黑体" w:cs="Times New Roman"/>
          <w:b w:val="0"/>
          <w:color w:val="auto"/>
          <w:sz w:val="32"/>
          <w:szCs w:val="32"/>
        </w:rPr>
        <w:t>作出承诺的法律效力，以及作出不实承诺和违反承诺的法律后果</w:t>
      </w: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</w:pP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（一）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企业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应确保已详细阅读并知晓本告知书的全部内容，并愿意依法承担相应法律后果。告知书归入商事主体登记档案。</w:t>
      </w: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（二）市场监管部门将加强事中事后监管，加大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对通过</w:t>
      </w:r>
      <w:r>
        <w:rPr>
          <w:rStyle w:val="10"/>
          <w:rFonts w:hint="eastAsia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“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秒批承诺制</w:t>
      </w:r>
      <w:r>
        <w:rPr>
          <w:rStyle w:val="10"/>
          <w:rFonts w:hint="eastAsia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”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方式完成登记的企业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双随机抽查比例，同时将会接受公民、法人或者其他组织的举报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eastAsia="zh-CN"/>
        </w:rPr>
        <w:t>，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对隐瞒有关情况或者提供虚假材料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取得登记的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，将依法依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规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进行处理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涉嫌构成犯罪的，移交司法机关依法追究刑事责任。</w:t>
      </w: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</w:pP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eastAsia="zh-CN"/>
        </w:rPr>
        <w:t>（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四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eastAsia="zh-CN"/>
        </w:rPr>
        <w:t>）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企业如果通过</w:t>
      </w:r>
      <w:r>
        <w:rPr>
          <w:rStyle w:val="10"/>
          <w:rFonts w:hint="eastAsia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“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秒批承诺制</w:t>
      </w:r>
      <w:r>
        <w:rPr>
          <w:rStyle w:val="10"/>
          <w:rFonts w:hint="eastAsia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”</w:t>
      </w:r>
      <w:r>
        <w:rPr>
          <w:rStyle w:val="10"/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val="en-US" w:eastAsia="zh-CN"/>
        </w:rPr>
        <w:t>取得企业登记后自身发现由于误操作等原因造成提交材料有误的，应当主动联系登记机关撤销登记，重新提交申请。</w:t>
      </w: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Style w:val="10"/>
          <w:rFonts w:hint="default" w:ascii="Times New Roman" w:hAnsi="Times New Roman" w:eastAsia="黑体" w:cs="Times New Roman"/>
          <w:b w:val="0"/>
          <w:color w:val="000000"/>
          <w:sz w:val="32"/>
          <w:szCs w:val="32"/>
        </w:rPr>
      </w:pPr>
    </w:p>
    <w:p>
      <w:pPr>
        <w:pStyle w:val="7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right"/>
        <w:textAlignment w:val="auto"/>
        <w:rPr>
          <w:rStyle w:val="10"/>
          <w:rFonts w:hint="eastAsia" w:ascii="Times New Roman" w:hAnsi="Times New Roman" w:eastAsia="仿宋_GB2312" w:cs="Times New Roman"/>
          <w:b w:val="0"/>
          <w:color w:val="000000"/>
          <w:sz w:val="32"/>
          <w:szCs w:val="32"/>
          <w:lang w:val="en-US" w:eastAsia="zh-CN"/>
        </w:rPr>
      </w:pPr>
      <w:r>
        <w:rPr>
          <w:rStyle w:val="10"/>
          <w:rFonts w:hint="eastAsia" w:ascii="Times New Roman" w:hAnsi="Times New Roman" w:eastAsia="仿宋_GB2312" w:cs="Times New Roman"/>
          <w:b w:val="0"/>
          <w:color w:val="000000"/>
          <w:sz w:val="32"/>
          <w:szCs w:val="32"/>
          <w:lang w:eastAsia="zh-CN"/>
        </w:rPr>
        <w:t>河北</w:t>
      </w:r>
      <w:r>
        <w:rPr>
          <w:rStyle w:val="10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  <w:t>雄安新区管理委员会公共服务局</w:t>
      </w:r>
      <w:r>
        <w:rPr>
          <w:rStyle w:val="10"/>
          <w:rFonts w:hint="eastAsia" w:ascii="Times New Roman" w:hAnsi="Times New Roman" w:eastAsia="仿宋_GB2312" w:cs="Times New Roman"/>
          <w:b w:val="0"/>
          <w:color w:val="00000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7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企业变更（备案）秒批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承诺书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Style w:val="10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Style w:val="10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  <w:t>雄安新区公共服务局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 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企业变更（备案）秒批</w:t>
      </w:r>
      <w:r>
        <w:rPr>
          <w:rStyle w:val="10"/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告知书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》告知内容已完全知晓理解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就申请审批的行政审批事项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出下列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承诺：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所提交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材料和填报信息真实、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准确、完整、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合法有效，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无任何伪造、篡改、隐瞒等虚假成分；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已知晓登记机关告知的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全部内容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，并按照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法定条件和要求进行了自查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符合登记机关告知的法定条件、标准和要求，且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不含有损国家、社会公共利益或者违背公序良俗、有其他不良影响的内容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所有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盖章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真实意愿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表达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保证所做承诺真实、合法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并愿意依法承担作出不实承诺和违反承诺的法律责任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60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法定代表人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签字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60" w:lineRule="exact"/>
        <w:contextualSpacing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（公司名称）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60" w:lineRule="exact"/>
        <w:contextualSpacing/>
        <w:jc w:val="center"/>
        <w:textAlignment w:val="auto"/>
        <w:rPr>
          <w:rFonts w:hint="eastAsia" w:ascii="Times New Roman" w:hAnsi="Times New Roman" w:eastAsia="仿宋_GB2312" w:cs="Times New Roman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928" w:right="1531" w:bottom="1814" w:left="1531" w:header="851" w:footer="1304" w:gutter="0"/>
          <w:cols w:space="0" w:num="1"/>
          <w:rtlGutter w:val="0"/>
          <w:docGrid w:type="lines" w:linePitch="319" w:charSpace="0"/>
        </w:sect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年   月  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日</w:t>
      </w:r>
    </w:p>
    <w:p>
      <w:pPr>
        <w:pStyle w:val="2"/>
        <w:ind w:left="0" w:leftChars="0" w:firstLine="0" w:firstLineChars="0"/>
        <w:rPr>
          <w:rFonts w:hint="default"/>
        </w:rPr>
      </w:pPr>
    </w:p>
    <w:sectPr>
      <w:footerReference r:id="rId5" w:type="default"/>
      <w:pgSz w:w="11906" w:h="16838"/>
      <w:pgMar w:top="1928" w:right="1531" w:bottom="1814" w:left="1531" w:header="851" w:footer="1304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94DE1"/>
    <w:rsid w:val="00245C5E"/>
    <w:rsid w:val="002C7FC4"/>
    <w:rsid w:val="002D4BE1"/>
    <w:rsid w:val="003A6A7E"/>
    <w:rsid w:val="005B3E50"/>
    <w:rsid w:val="00655967"/>
    <w:rsid w:val="007175E8"/>
    <w:rsid w:val="00756E8B"/>
    <w:rsid w:val="009250E0"/>
    <w:rsid w:val="00A00525"/>
    <w:rsid w:val="00A74278"/>
    <w:rsid w:val="00A82E23"/>
    <w:rsid w:val="00B733C9"/>
    <w:rsid w:val="00C206B3"/>
    <w:rsid w:val="00DB6A79"/>
    <w:rsid w:val="00DD3CF5"/>
    <w:rsid w:val="00DF5A3B"/>
    <w:rsid w:val="00DF6528"/>
    <w:rsid w:val="00E51EFE"/>
    <w:rsid w:val="012B6C6C"/>
    <w:rsid w:val="013922AB"/>
    <w:rsid w:val="014A73B4"/>
    <w:rsid w:val="01A36D9E"/>
    <w:rsid w:val="021118D3"/>
    <w:rsid w:val="024F079F"/>
    <w:rsid w:val="028B5C42"/>
    <w:rsid w:val="02BB7A55"/>
    <w:rsid w:val="02D877A2"/>
    <w:rsid w:val="0302592F"/>
    <w:rsid w:val="0305254F"/>
    <w:rsid w:val="0411527A"/>
    <w:rsid w:val="04913C6A"/>
    <w:rsid w:val="04CF2875"/>
    <w:rsid w:val="057B2466"/>
    <w:rsid w:val="05C679C9"/>
    <w:rsid w:val="05EF3004"/>
    <w:rsid w:val="06CA538B"/>
    <w:rsid w:val="06E865D9"/>
    <w:rsid w:val="06FA0F28"/>
    <w:rsid w:val="071740B7"/>
    <w:rsid w:val="073E6C89"/>
    <w:rsid w:val="07893BC8"/>
    <w:rsid w:val="07B447B2"/>
    <w:rsid w:val="07CB45CA"/>
    <w:rsid w:val="07E23D1C"/>
    <w:rsid w:val="081E0966"/>
    <w:rsid w:val="095B624C"/>
    <w:rsid w:val="09796D43"/>
    <w:rsid w:val="0ABF58D0"/>
    <w:rsid w:val="0B0A563C"/>
    <w:rsid w:val="0B6B7D2D"/>
    <w:rsid w:val="0BD65782"/>
    <w:rsid w:val="0D63732C"/>
    <w:rsid w:val="0D880151"/>
    <w:rsid w:val="0D912863"/>
    <w:rsid w:val="0D995F2F"/>
    <w:rsid w:val="0DEC0EC1"/>
    <w:rsid w:val="0DF118BF"/>
    <w:rsid w:val="0E090B18"/>
    <w:rsid w:val="0E184327"/>
    <w:rsid w:val="0E976002"/>
    <w:rsid w:val="0ED66098"/>
    <w:rsid w:val="0EE467FB"/>
    <w:rsid w:val="10F30904"/>
    <w:rsid w:val="111164D8"/>
    <w:rsid w:val="11151AE2"/>
    <w:rsid w:val="115335F3"/>
    <w:rsid w:val="118E7FB4"/>
    <w:rsid w:val="132028C6"/>
    <w:rsid w:val="133850F8"/>
    <w:rsid w:val="1368631B"/>
    <w:rsid w:val="13B878B7"/>
    <w:rsid w:val="140C44A5"/>
    <w:rsid w:val="140E4853"/>
    <w:rsid w:val="146435ED"/>
    <w:rsid w:val="146C057A"/>
    <w:rsid w:val="16524781"/>
    <w:rsid w:val="1673034A"/>
    <w:rsid w:val="16B51482"/>
    <w:rsid w:val="171F4DFB"/>
    <w:rsid w:val="1720333B"/>
    <w:rsid w:val="17AA6BAB"/>
    <w:rsid w:val="17BC28F5"/>
    <w:rsid w:val="17FF9758"/>
    <w:rsid w:val="18B91DCE"/>
    <w:rsid w:val="18D3712C"/>
    <w:rsid w:val="1973725C"/>
    <w:rsid w:val="1A3819B6"/>
    <w:rsid w:val="1A716F54"/>
    <w:rsid w:val="1AA01345"/>
    <w:rsid w:val="1AC03A0A"/>
    <w:rsid w:val="1BDB146E"/>
    <w:rsid w:val="1C3526E8"/>
    <w:rsid w:val="1D0B7225"/>
    <w:rsid w:val="1D1C63C1"/>
    <w:rsid w:val="1D4E2C1D"/>
    <w:rsid w:val="1DA83BD5"/>
    <w:rsid w:val="1E425E33"/>
    <w:rsid w:val="1EC31A00"/>
    <w:rsid w:val="1EF965BD"/>
    <w:rsid w:val="1FCB048B"/>
    <w:rsid w:val="1FF487DE"/>
    <w:rsid w:val="1FF670FF"/>
    <w:rsid w:val="2017243C"/>
    <w:rsid w:val="205D5982"/>
    <w:rsid w:val="206537D4"/>
    <w:rsid w:val="207C0268"/>
    <w:rsid w:val="20BD3A64"/>
    <w:rsid w:val="210427B6"/>
    <w:rsid w:val="210D1335"/>
    <w:rsid w:val="21BA4CE8"/>
    <w:rsid w:val="21DFED5B"/>
    <w:rsid w:val="21E967DA"/>
    <w:rsid w:val="225A170E"/>
    <w:rsid w:val="22CB720E"/>
    <w:rsid w:val="22F81C1E"/>
    <w:rsid w:val="230D0E5F"/>
    <w:rsid w:val="246C71B6"/>
    <w:rsid w:val="247A3BC6"/>
    <w:rsid w:val="24A10E6F"/>
    <w:rsid w:val="25F72209"/>
    <w:rsid w:val="263D5B95"/>
    <w:rsid w:val="2675602E"/>
    <w:rsid w:val="267E2B3C"/>
    <w:rsid w:val="269D0A06"/>
    <w:rsid w:val="271957A4"/>
    <w:rsid w:val="2768063A"/>
    <w:rsid w:val="28225AB1"/>
    <w:rsid w:val="282C4B9A"/>
    <w:rsid w:val="29BB3DA2"/>
    <w:rsid w:val="2A294725"/>
    <w:rsid w:val="2A5234AD"/>
    <w:rsid w:val="2A760C5B"/>
    <w:rsid w:val="2A99554F"/>
    <w:rsid w:val="2A9B0CBB"/>
    <w:rsid w:val="2BFFD967"/>
    <w:rsid w:val="2CA32DE1"/>
    <w:rsid w:val="2CAC7132"/>
    <w:rsid w:val="2DDA33C7"/>
    <w:rsid w:val="2E06566F"/>
    <w:rsid w:val="2E10432A"/>
    <w:rsid w:val="2F4C7A82"/>
    <w:rsid w:val="2F5B5068"/>
    <w:rsid w:val="2FDBBE18"/>
    <w:rsid w:val="2FDF375C"/>
    <w:rsid w:val="30123C9A"/>
    <w:rsid w:val="30410EFA"/>
    <w:rsid w:val="30904C8A"/>
    <w:rsid w:val="316F73F0"/>
    <w:rsid w:val="31AF4784"/>
    <w:rsid w:val="32B312CB"/>
    <w:rsid w:val="32F836F6"/>
    <w:rsid w:val="33463AB6"/>
    <w:rsid w:val="34A71973"/>
    <w:rsid w:val="34DD7D09"/>
    <w:rsid w:val="34E81BE7"/>
    <w:rsid w:val="35620ADD"/>
    <w:rsid w:val="356F2009"/>
    <w:rsid w:val="359A6240"/>
    <w:rsid w:val="35FFAB40"/>
    <w:rsid w:val="362A10FD"/>
    <w:rsid w:val="364F2CF8"/>
    <w:rsid w:val="3669F0F0"/>
    <w:rsid w:val="38825F1C"/>
    <w:rsid w:val="38A15496"/>
    <w:rsid w:val="39351B9F"/>
    <w:rsid w:val="3A07452C"/>
    <w:rsid w:val="3A290104"/>
    <w:rsid w:val="3A964953"/>
    <w:rsid w:val="3B2767F0"/>
    <w:rsid w:val="3B4B317E"/>
    <w:rsid w:val="3B7475F1"/>
    <w:rsid w:val="3BA153A7"/>
    <w:rsid w:val="3BF76E4B"/>
    <w:rsid w:val="3C214F41"/>
    <w:rsid w:val="3C6F4B36"/>
    <w:rsid w:val="3CA315F0"/>
    <w:rsid w:val="3CB142E2"/>
    <w:rsid w:val="3CD7C8C5"/>
    <w:rsid w:val="3CDFA58E"/>
    <w:rsid w:val="3CE3385A"/>
    <w:rsid w:val="3D0479BB"/>
    <w:rsid w:val="3D542BCC"/>
    <w:rsid w:val="3D801935"/>
    <w:rsid w:val="3EF3361B"/>
    <w:rsid w:val="3EF76DC7"/>
    <w:rsid w:val="3F2C0AD9"/>
    <w:rsid w:val="3F35195A"/>
    <w:rsid w:val="3F3C07A6"/>
    <w:rsid w:val="3F63580E"/>
    <w:rsid w:val="3F7F3BA2"/>
    <w:rsid w:val="3FFF4018"/>
    <w:rsid w:val="40E85400"/>
    <w:rsid w:val="40EA3888"/>
    <w:rsid w:val="40FA1C81"/>
    <w:rsid w:val="411B6DD9"/>
    <w:rsid w:val="412D5416"/>
    <w:rsid w:val="42C019F0"/>
    <w:rsid w:val="42E66C2A"/>
    <w:rsid w:val="431B7631"/>
    <w:rsid w:val="43CB6474"/>
    <w:rsid w:val="43E44D50"/>
    <w:rsid w:val="44FC8854"/>
    <w:rsid w:val="45093C4C"/>
    <w:rsid w:val="451B22C8"/>
    <w:rsid w:val="45D93754"/>
    <w:rsid w:val="45ED2464"/>
    <w:rsid w:val="462636D0"/>
    <w:rsid w:val="463C1746"/>
    <w:rsid w:val="463D7D8C"/>
    <w:rsid w:val="476004EF"/>
    <w:rsid w:val="48514691"/>
    <w:rsid w:val="49102F5B"/>
    <w:rsid w:val="49337F21"/>
    <w:rsid w:val="493544D1"/>
    <w:rsid w:val="494E6BA3"/>
    <w:rsid w:val="4987400A"/>
    <w:rsid w:val="49B04DE0"/>
    <w:rsid w:val="4A1D03D8"/>
    <w:rsid w:val="4B141053"/>
    <w:rsid w:val="4B4269D9"/>
    <w:rsid w:val="4B4B373C"/>
    <w:rsid w:val="4B591C84"/>
    <w:rsid w:val="4B6C3A32"/>
    <w:rsid w:val="4BB030F6"/>
    <w:rsid w:val="4BBC2FC8"/>
    <w:rsid w:val="4BCF0F39"/>
    <w:rsid w:val="4BEC06A1"/>
    <w:rsid w:val="4D357445"/>
    <w:rsid w:val="4DC6301E"/>
    <w:rsid w:val="4E054E80"/>
    <w:rsid w:val="4E9D2C8C"/>
    <w:rsid w:val="4F41449D"/>
    <w:rsid w:val="4F971873"/>
    <w:rsid w:val="4FCA289A"/>
    <w:rsid w:val="4FE32C95"/>
    <w:rsid w:val="4FE40B8B"/>
    <w:rsid w:val="506548F0"/>
    <w:rsid w:val="512352BF"/>
    <w:rsid w:val="52650599"/>
    <w:rsid w:val="52745185"/>
    <w:rsid w:val="528E6D16"/>
    <w:rsid w:val="52C825EE"/>
    <w:rsid w:val="532B1015"/>
    <w:rsid w:val="547F1CA4"/>
    <w:rsid w:val="54E66CD7"/>
    <w:rsid w:val="554A0AE1"/>
    <w:rsid w:val="55EE5CE0"/>
    <w:rsid w:val="561571AE"/>
    <w:rsid w:val="56BA6262"/>
    <w:rsid w:val="56DB3471"/>
    <w:rsid w:val="575133FA"/>
    <w:rsid w:val="57577AC8"/>
    <w:rsid w:val="57820F52"/>
    <w:rsid w:val="58055826"/>
    <w:rsid w:val="586D38B0"/>
    <w:rsid w:val="589B5A54"/>
    <w:rsid w:val="58AB49A7"/>
    <w:rsid w:val="58AF7C5B"/>
    <w:rsid w:val="590A23AB"/>
    <w:rsid w:val="595BBA69"/>
    <w:rsid w:val="599FE7AE"/>
    <w:rsid w:val="59EB6AEA"/>
    <w:rsid w:val="5AD21B18"/>
    <w:rsid w:val="5B21746F"/>
    <w:rsid w:val="5B843B49"/>
    <w:rsid w:val="5BBBE080"/>
    <w:rsid w:val="5C3877DE"/>
    <w:rsid w:val="5C7602F4"/>
    <w:rsid w:val="5CC65AB9"/>
    <w:rsid w:val="5D1E14B3"/>
    <w:rsid w:val="5D3107B8"/>
    <w:rsid w:val="5D617F34"/>
    <w:rsid w:val="5D843255"/>
    <w:rsid w:val="5DD3417E"/>
    <w:rsid w:val="5E117A14"/>
    <w:rsid w:val="5E191242"/>
    <w:rsid w:val="5E30256C"/>
    <w:rsid w:val="5E3B531C"/>
    <w:rsid w:val="5E410565"/>
    <w:rsid w:val="5E430BDF"/>
    <w:rsid w:val="5EAF4331"/>
    <w:rsid w:val="5EBF5578"/>
    <w:rsid w:val="5EF305A1"/>
    <w:rsid w:val="5F137952"/>
    <w:rsid w:val="5F161283"/>
    <w:rsid w:val="5F3909E3"/>
    <w:rsid w:val="5F64691E"/>
    <w:rsid w:val="5FA7288D"/>
    <w:rsid w:val="5FB72A22"/>
    <w:rsid w:val="6059267B"/>
    <w:rsid w:val="60DC3154"/>
    <w:rsid w:val="610C54E3"/>
    <w:rsid w:val="611341C1"/>
    <w:rsid w:val="61954157"/>
    <w:rsid w:val="619D3CCD"/>
    <w:rsid w:val="61BA1F17"/>
    <w:rsid w:val="61C2106B"/>
    <w:rsid w:val="61D93FD7"/>
    <w:rsid w:val="6210388E"/>
    <w:rsid w:val="627B12CA"/>
    <w:rsid w:val="62C627DE"/>
    <w:rsid w:val="62F71C15"/>
    <w:rsid w:val="631A5497"/>
    <w:rsid w:val="633915D0"/>
    <w:rsid w:val="635952AC"/>
    <w:rsid w:val="636458F3"/>
    <w:rsid w:val="63CB2AE4"/>
    <w:rsid w:val="63EE07EC"/>
    <w:rsid w:val="64370A19"/>
    <w:rsid w:val="64737FA1"/>
    <w:rsid w:val="6477028E"/>
    <w:rsid w:val="64874A32"/>
    <w:rsid w:val="65AF58F8"/>
    <w:rsid w:val="65C91AA8"/>
    <w:rsid w:val="66AA36AD"/>
    <w:rsid w:val="67296B07"/>
    <w:rsid w:val="67C1566D"/>
    <w:rsid w:val="67E4A2CC"/>
    <w:rsid w:val="68191153"/>
    <w:rsid w:val="68920B09"/>
    <w:rsid w:val="68B713D9"/>
    <w:rsid w:val="6981298D"/>
    <w:rsid w:val="6A094DE1"/>
    <w:rsid w:val="6A0E7CCC"/>
    <w:rsid w:val="6A0F5736"/>
    <w:rsid w:val="6A4774F1"/>
    <w:rsid w:val="6A5D6FF2"/>
    <w:rsid w:val="6AD26879"/>
    <w:rsid w:val="6AFF972E"/>
    <w:rsid w:val="6BC60C6E"/>
    <w:rsid w:val="6DE029E5"/>
    <w:rsid w:val="6DE5117E"/>
    <w:rsid w:val="6EDC50E5"/>
    <w:rsid w:val="6F3056FC"/>
    <w:rsid w:val="6F7FFFB6"/>
    <w:rsid w:val="6F904BF5"/>
    <w:rsid w:val="700877C9"/>
    <w:rsid w:val="70612D60"/>
    <w:rsid w:val="70B37BA6"/>
    <w:rsid w:val="7157A039"/>
    <w:rsid w:val="71881D79"/>
    <w:rsid w:val="71A31F45"/>
    <w:rsid w:val="71D42B11"/>
    <w:rsid w:val="71EA134E"/>
    <w:rsid w:val="73147E00"/>
    <w:rsid w:val="734F53E6"/>
    <w:rsid w:val="73BC502B"/>
    <w:rsid w:val="73D304CD"/>
    <w:rsid w:val="73DF304D"/>
    <w:rsid w:val="73DF3DBD"/>
    <w:rsid w:val="73EE462E"/>
    <w:rsid w:val="741113FB"/>
    <w:rsid w:val="74353408"/>
    <w:rsid w:val="7440774B"/>
    <w:rsid w:val="749E6CFB"/>
    <w:rsid w:val="74BD255D"/>
    <w:rsid w:val="75024FCF"/>
    <w:rsid w:val="752F4559"/>
    <w:rsid w:val="75D71A57"/>
    <w:rsid w:val="76406E32"/>
    <w:rsid w:val="76FC7AE1"/>
    <w:rsid w:val="77120A22"/>
    <w:rsid w:val="7728091B"/>
    <w:rsid w:val="777B104C"/>
    <w:rsid w:val="77A36E3B"/>
    <w:rsid w:val="77BFE728"/>
    <w:rsid w:val="77EF10A3"/>
    <w:rsid w:val="77EF7192"/>
    <w:rsid w:val="78B40E74"/>
    <w:rsid w:val="78C1016B"/>
    <w:rsid w:val="79E127B0"/>
    <w:rsid w:val="79E93F00"/>
    <w:rsid w:val="7AE129BC"/>
    <w:rsid w:val="7B5F7B3A"/>
    <w:rsid w:val="7BC340A5"/>
    <w:rsid w:val="7BF34AD3"/>
    <w:rsid w:val="7D6F4CEC"/>
    <w:rsid w:val="7D7AB08E"/>
    <w:rsid w:val="7DB7E3DB"/>
    <w:rsid w:val="7E6C1F03"/>
    <w:rsid w:val="7E777464"/>
    <w:rsid w:val="7EBB08D7"/>
    <w:rsid w:val="7EE03B7A"/>
    <w:rsid w:val="7EE1B6AD"/>
    <w:rsid w:val="7EF7F107"/>
    <w:rsid w:val="7F0807A6"/>
    <w:rsid w:val="7FAA8847"/>
    <w:rsid w:val="7FBF69FC"/>
    <w:rsid w:val="7FF75676"/>
    <w:rsid w:val="7FFB68D0"/>
    <w:rsid w:val="8EFF087E"/>
    <w:rsid w:val="9EFB6A19"/>
    <w:rsid w:val="9F3DC881"/>
    <w:rsid w:val="9FDF1E75"/>
    <w:rsid w:val="A6F7C252"/>
    <w:rsid w:val="AF9E8014"/>
    <w:rsid w:val="BCFF2F75"/>
    <w:rsid w:val="BE95C814"/>
    <w:rsid w:val="BFFFF128"/>
    <w:rsid w:val="D6FE5F5F"/>
    <w:rsid w:val="D7A9E833"/>
    <w:rsid w:val="D7BDACD1"/>
    <w:rsid w:val="DA9F7877"/>
    <w:rsid w:val="DE47748B"/>
    <w:rsid w:val="DE75BEAB"/>
    <w:rsid w:val="E3FF2EB6"/>
    <w:rsid w:val="E92581B5"/>
    <w:rsid w:val="EEEF7E1E"/>
    <w:rsid w:val="EFF51C2B"/>
    <w:rsid w:val="F3FD973B"/>
    <w:rsid w:val="F63F03F3"/>
    <w:rsid w:val="F6F51BD3"/>
    <w:rsid w:val="F76F022C"/>
    <w:rsid w:val="F77F4E83"/>
    <w:rsid w:val="F7EC1797"/>
    <w:rsid w:val="F7EF4B2E"/>
    <w:rsid w:val="FA9D49D3"/>
    <w:rsid w:val="FAB5B850"/>
    <w:rsid w:val="FBDFAEEF"/>
    <w:rsid w:val="FBFBFA48"/>
    <w:rsid w:val="FD3A2442"/>
    <w:rsid w:val="FDE203E9"/>
    <w:rsid w:val="FDFDB56C"/>
    <w:rsid w:val="FEFA0D8A"/>
    <w:rsid w:val="FF3F4078"/>
    <w:rsid w:val="FF7D38C0"/>
    <w:rsid w:val="FFF56918"/>
    <w:rsid w:val="FFFBEF98"/>
    <w:rsid w:val="FF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420" w:firstLineChars="200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rFonts w:hint="default" w:ascii="Times New Roman"/>
      <w:color w:val="3D3D3D"/>
    </w:r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4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/>
      <w:kern w:val="0"/>
      <w:sz w:val="26"/>
      <w:szCs w:val="26"/>
    </w:rPr>
  </w:style>
  <w:style w:type="paragraph" w:customStyle="1" w:styleId="15">
    <w:name w:val="one-p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254</Characters>
  <Lines>2</Lines>
  <Paragraphs>1</Paragraphs>
  <TotalTime>6</TotalTime>
  <ScaleCrop>false</ScaleCrop>
  <LinksUpToDate>false</LinksUpToDate>
  <CharactersWithSpaces>297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2019-04-18T00:14:00Z</dcterms:created>
  <dc:creator>zzz</dc:creator>
  <cp:lastModifiedBy>HYn</cp:lastModifiedBy>
  <cp:lastPrinted>2021-03-01T02:38:00Z</cp:lastPrinted>
  <dcterms:modified xsi:type="dcterms:W3CDTF">2021-03-10T06:56:35Z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