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
          <w:bCs/>
          <w:kern w:val="0"/>
          <w:sz w:val="24"/>
          <w:szCs w:val="24"/>
          <w:lang w:val="ru-RU"/>
        </w:rPr>
      </w:pPr>
      <w:r>
        <w:rPr>
          <w:rFonts w:ascii="Times New Roman" w:hAnsi="Times New Roman" w:eastAsia="楷体"/>
          <w:b/>
          <w:bCs/>
          <w:kern w:val="0"/>
          <w:sz w:val="24"/>
          <w:szCs w:val="24"/>
          <w:lang w:val="ru-RU"/>
        </w:rPr>
        <w:t>Министерство финансов КНР</w:t>
      </w: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ДОКЛАД ОБ ИСПОЛНЕНИИ</w:t>
      </w: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ЦЕНТРАЛЬНОГО И МЕСТНЫХ БЮДЖЕТОВ</w:t>
      </w: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ЗА 202</w:t>
      </w:r>
      <w:r>
        <w:rPr>
          <w:rFonts w:hint="eastAsia" w:ascii="Times New Roman" w:hAnsi="Times New Roman" w:eastAsia="楷体"/>
          <w:b/>
          <w:bCs/>
          <w:kern w:val="0"/>
          <w:sz w:val="32"/>
          <w:szCs w:val="32"/>
          <w:lang w:val="ru-RU"/>
        </w:rPr>
        <w:t>4</w:t>
      </w:r>
      <w:r>
        <w:rPr>
          <w:rFonts w:ascii="Times New Roman" w:hAnsi="Times New Roman" w:eastAsia="楷体"/>
          <w:b/>
          <w:bCs/>
          <w:kern w:val="0"/>
          <w:sz w:val="32"/>
          <w:szCs w:val="32"/>
          <w:lang w:val="ru-RU"/>
        </w:rPr>
        <w:t xml:space="preserve"> ГОД И ПРОЕКТЕ ЦЕНТРАЛЬНОГО</w:t>
      </w:r>
    </w:p>
    <w:p>
      <w:pPr>
        <w:widowControl/>
        <w:adjustRightInd w:val="0"/>
        <w:snapToGrid w:val="0"/>
        <w:jc w:val="center"/>
        <w:rPr>
          <w:rFonts w:ascii="Times New Roman" w:hAnsi="Times New Roman" w:eastAsia="楷体"/>
          <w:b/>
          <w:bCs/>
          <w:kern w:val="0"/>
          <w:sz w:val="32"/>
          <w:szCs w:val="32"/>
          <w:lang w:val="ru-RU"/>
        </w:rPr>
      </w:pPr>
      <w:r>
        <w:rPr>
          <w:rFonts w:ascii="Times New Roman" w:hAnsi="Times New Roman" w:eastAsia="楷体"/>
          <w:b/>
          <w:bCs/>
          <w:kern w:val="0"/>
          <w:sz w:val="32"/>
          <w:szCs w:val="32"/>
          <w:lang w:val="ru-RU"/>
        </w:rPr>
        <w:t>И МЕСТНЫХ БЮДЖЕТОВ НА 202</w:t>
      </w:r>
      <w:r>
        <w:rPr>
          <w:rFonts w:hint="eastAsia" w:ascii="Times New Roman" w:hAnsi="Times New Roman" w:eastAsia="楷体"/>
          <w:b/>
          <w:bCs/>
          <w:kern w:val="0"/>
          <w:sz w:val="32"/>
          <w:szCs w:val="32"/>
          <w:lang w:val="ru-RU"/>
        </w:rPr>
        <w:t>5</w:t>
      </w:r>
      <w:r>
        <w:rPr>
          <w:rFonts w:ascii="Times New Roman" w:hAnsi="Times New Roman" w:eastAsia="楷体"/>
          <w:b/>
          <w:bCs/>
          <w:kern w:val="0"/>
          <w:sz w:val="32"/>
          <w:szCs w:val="32"/>
          <w:lang w:val="ru-RU"/>
        </w:rPr>
        <w:t xml:space="preserve"> ГОД</w:t>
      </w:r>
    </w:p>
    <w:p>
      <w:pPr>
        <w:widowControl/>
        <w:adjustRightInd w:val="0"/>
        <w:snapToGrid w:val="0"/>
        <w:jc w:val="center"/>
        <w:rPr>
          <w:rFonts w:ascii="Times New Roman" w:hAnsi="Times New Roman" w:eastAsia="楷体"/>
          <w:b/>
          <w:bCs/>
          <w:kern w:val="0"/>
          <w:sz w:val="32"/>
          <w:szCs w:val="32"/>
          <w:lang w:val="ru-RU"/>
        </w:rPr>
      </w:pPr>
    </w:p>
    <w:p>
      <w:pPr>
        <w:widowControl/>
        <w:adjustRightInd w:val="0"/>
        <w:snapToGrid w:val="0"/>
        <w:jc w:val="center"/>
        <w:rPr>
          <w:rFonts w:ascii="Times New Roman" w:hAnsi="Times New Roman" w:eastAsia="楷体"/>
          <w:b/>
          <w:bCs/>
          <w:kern w:val="0"/>
          <w:sz w:val="24"/>
          <w:szCs w:val="24"/>
          <w:lang w:val="ru-RU"/>
        </w:rPr>
      </w:pPr>
    </w:p>
    <w:p>
      <w:pPr>
        <w:widowControl/>
        <w:adjustRightInd w:val="0"/>
        <w:snapToGrid w:val="0"/>
        <w:jc w:val="center"/>
        <w:rPr>
          <w:rFonts w:ascii="Times New Roman" w:hAnsi="Times New Roman" w:eastAsia="楷体"/>
          <w:bCs/>
          <w:kern w:val="0"/>
          <w:sz w:val="28"/>
          <w:szCs w:val="28"/>
          <w:lang w:val="ru-RU"/>
        </w:rPr>
      </w:pPr>
    </w:p>
    <w:p>
      <w:pPr>
        <w:widowControl/>
        <w:adjustRightInd w:val="0"/>
        <w:snapToGrid w:val="0"/>
        <w:jc w:val="center"/>
        <w:rPr>
          <w:rFonts w:ascii="Times New Roman" w:hAnsi="Times New Roman" w:eastAsia="楷体"/>
          <w:bCs/>
          <w:kern w:val="0"/>
          <w:sz w:val="28"/>
          <w:szCs w:val="28"/>
          <w:lang w:val="ru-RU"/>
        </w:rPr>
      </w:pPr>
    </w:p>
    <w:p>
      <w:pPr>
        <w:widowControl/>
        <w:adjustRightInd w:val="0"/>
        <w:snapToGrid w:val="0"/>
        <w:jc w:val="center"/>
        <w:rPr>
          <w:rFonts w:ascii="Times New Roman" w:hAnsi="Times New Roman" w:eastAsia="楷体"/>
          <w:bCs/>
          <w:kern w:val="0"/>
          <w:sz w:val="24"/>
          <w:szCs w:val="24"/>
          <w:lang w:val="ru-RU"/>
        </w:rPr>
      </w:pPr>
      <w:r>
        <w:rPr>
          <w:rFonts w:ascii="Times New Roman" w:hAnsi="Times New Roman" w:eastAsia="楷体"/>
          <w:bCs/>
          <w:kern w:val="0"/>
          <w:sz w:val="24"/>
          <w:szCs w:val="24"/>
          <w:lang w:val="ru-RU"/>
        </w:rPr>
        <w:t>Представлен 5 марта 202</w:t>
      </w:r>
      <w:r>
        <w:rPr>
          <w:rFonts w:hint="eastAsia" w:ascii="Times New Roman" w:hAnsi="Times New Roman" w:eastAsia="楷体"/>
          <w:bCs/>
          <w:kern w:val="0"/>
          <w:sz w:val="24"/>
          <w:szCs w:val="24"/>
          <w:lang w:val="ru-RU"/>
        </w:rPr>
        <w:t>5</w:t>
      </w:r>
      <w:r>
        <w:rPr>
          <w:rFonts w:ascii="Times New Roman" w:hAnsi="Times New Roman" w:eastAsia="楷体"/>
          <w:bCs/>
          <w:kern w:val="0"/>
          <w:sz w:val="24"/>
          <w:szCs w:val="24"/>
          <w:lang w:val="ru-RU"/>
        </w:rPr>
        <w:t xml:space="preserve"> года </w:t>
      </w:r>
      <w:r>
        <w:rPr>
          <w:rFonts w:hint="eastAsia" w:ascii="Times New Roman" w:hAnsi="Times New Roman" w:eastAsia="楷体"/>
          <w:bCs/>
          <w:kern w:val="0"/>
          <w:sz w:val="24"/>
          <w:szCs w:val="24"/>
          <w:lang w:val="ru-RU"/>
        </w:rPr>
        <w:t>3</w:t>
      </w:r>
      <w:r>
        <w:rPr>
          <w:rFonts w:ascii="Times New Roman" w:hAnsi="Times New Roman" w:eastAsia="楷体"/>
          <w:bCs/>
          <w:kern w:val="0"/>
          <w:sz w:val="24"/>
          <w:szCs w:val="24"/>
          <w:lang w:val="ru-RU"/>
        </w:rPr>
        <w:t>-й сессии</w:t>
      </w:r>
    </w:p>
    <w:p>
      <w:pPr>
        <w:widowControl/>
        <w:adjustRightInd w:val="0"/>
        <w:snapToGrid w:val="0"/>
        <w:jc w:val="center"/>
        <w:rPr>
          <w:rFonts w:ascii="Times New Roman" w:hAnsi="Times New Roman" w:eastAsia="楷体"/>
          <w:bCs/>
          <w:kern w:val="0"/>
          <w:sz w:val="24"/>
          <w:szCs w:val="24"/>
          <w:lang w:val="ru-RU"/>
        </w:rPr>
      </w:pPr>
      <w:r>
        <w:rPr>
          <w:rFonts w:ascii="Times New Roman" w:hAnsi="Times New Roman" w:eastAsia="楷体"/>
          <w:bCs/>
          <w:kern w:val="0"/>
          <w:sz w:val="24"/>
          <w:szCs w:val="24"/>
          <w:lang w:val="ru-RU"/>
        </w:rPr>
        <w:t>Всекитайского Собрания</w:t>
      </w:r>
    </w:p>
    <w:p>
      <w:pPr>
        <w:widowControl/>
        <w:adjustRightInd w:val="0"/>
        <w:snapToGrid w:val="0"/>
        <w:jc w:val="center"/>
        <w:rPr>
          <w:rFonts w:ascii="Times New Roman" w:hAnsi="Times New Roman" w:eastAsia="楷体"/>
          <w:bCs/>
          <w:kern w:val="0"/>
          <w:sz w:val="24"/>
          <w:szCs w:val="24"/>
          <w:lang w:val="ru-RU"/>
        </w:rPr>
      </w:pPr>
      <w:r>
        <w:rPr>
          <w:rFonts w:ascii="Times New Roman" w:hAnsi="Times New Roman" w:eastAsia="楷体"/>
          <w:bCs/>
          <w:kern w:val="0"/>
          <w:sz w:val="24"/>
          <w:szCs w:val="24"/>
          <w:lang w:val="ru-RU"/>
        </w:rPr>
        <w:t>народных представителей 14-го созыва</w:t>
      </w:r>
    </w:p>
    <w:p>
      <w:pPr>
        <w:widowControl/>
        <w:adjustRightInd w:val="0"/>
        <w:snapToGrid w:val="0"/>
        <w:jc w:val="center"/>
        <w:rPr>
          <w:rFonts w:ascii="Times New Roman" w:hAnsi="Times New Roman" w:eastAsia="楷体"/>
          <w:bCs/>
          <w:kern w:val="0"/>
          <w:sz w:val="24"/>
          <w:szCs w:val="24"/>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center"/>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widowControl/>
        <w:adjustRightInd w:val="0"/>
        <w:snapToGrid w:val="0"/>
        <w:jc w:val="left"/>
        <w:rPr>
          <w:rFonts w:ascii="Times New Roman" w:hAnsi="Times New Roman" w:eastAsia="楷体"/>
          <w:b/>
          <w:bCs/>
          <w:kern w:val="0"/>
          <w:sz w:val="28"/>
          <w:szCs w:val="28"/>
          <w:lang w:val="ru-RU"/>
        </w:rPr>
      </w:pPr>
    </w:p>
    <w:p>
      <w:pPr>
        <w:rPr>
          <w:lang w:val="ru-RU"/>
        </w:rPr>
      </w:pPr>
    </w:p>
    <w:p>
      <w:pPr>
        <w:rPr>
          <w:lang w:val="ru-RU"/>
        </w:rPr>
      </w:pPr>
    </w:p>
    <w:p>
      <w:pPr>
        <w:rPr>
          <w:lang w:val="ru-RU"/>
        </w:rPr>
      </w:pPr>
    </w:p>
    <w:p>
      <w:pPr>
        <w:rPr>
          <w:lang w:val="ru-RU"/>
        </w:rPr>
      </w:pP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Уважаемые депутаты!</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По поручению Госсовета представляем на рассмотрение 3-й сессии ВСНП 14-го созыва доклад об исполнении центрального и местных бюджетов за 2024 год и проекте центрального и местных бюджетов на 2025 год. Просим также членов </w:t>
      </w:r>
      <w:bookmarkStart w:id="0" w:name="OLE_LINK4"/>
      <w:bookmarkStart w:id="1" w:name="OLE_LINK3"/>
      <w:r>
        <w:rPr>
          <w:rFonts w:ascii="Times New Roman" w:hAnsi="Times New Roman"/>
          <w:sz w:val="24"/>
          <w:szCs w:val="24"/>
          <w:lang w:val="ru-RU"/>
        </w:rPr>
        <w:t xml:space="preserve">Всекитайского комитета Народного политического консультативного совета Китая </w:t>
      </w:r>
      <w:bookmarkEnd w:id="0"/>
      <w:bookmarkEnd w:id="1"/>
      <w:r>
        <w:rPr>
          <w:rFonts w:ascii="Times New Roman" w:hAnsi="Times New Roman"/>
          <w:sz w:val="24"/>
          <w:szCs w:val="24"/>
          <w:lang w:val="ru-RU"/>
        </w:rPr>
        <w:t>высказать по нему свои соображения.</w:t>
      </w:r>
    </w:p>
    <w:p>
      <w:pPr>
        <w:adjustRightInd w:val="0"/>
        <w:snapToGrid w:val="0"/>
        <w:spacing w:line="300" w:lineRule="auto"/>
        <w:rPr>
          <w:rFonts w:ascii="Times New Roman" w:hAnsi="Times New Roman"/>
          <w:b/>
          <w:sz w:val="24"/>
          <w:szCs w:val="24"/>
          <w:lang w:val="ru-RU"/>
        </w:rPr>
      </w:pPr>
    </w:p>
    <w:p>
      <w:pPr>
        <w:adjustRightInd w:val="0"/>
        <w:snapToGrid w:val="0"/>
        <w:spacing w:line="300" w:lineRule="auto"/>
        <w:rPr>
          <w:rFonts w:ascii="Times New Roman" w:hAnsi="Times New Roman"/>
          <w:b/>
          <w:sz w:val="24"/>
          <w:szCs w:val="24"/>
          <w:lang w:val="ru-RU"/>
        </w:rPr>
      </w:pPr>
    </w:p>
    <w:p>
      <w:pPr>
        <w:adjustRightInd w:val="0"/>
        <w:snapToGrid w:val="0"/>
        <w:spacing w:line="300" w:lineRule="auto"/>
        <w:jc w:val="center"/>
        <w:rPr>
          <w:rFonts w:ascii="Times New Roman" w:hAnsi="Times New Roman"/>
          <w:b/>
          <w:sz w:val="24"/>
          <w:szCs w:val="24"/>
          <w:lang w:val="ru-RU"/>
        </w:rPr>
      </w:pPr>
      <w:r>
        <w:rPr>
          <w:rFonts w:ascii="Times New Roman" w:hAnsi="Times New Roman"/>
          <w:b/>
          <w:sz w:val="24"/>
          <w:szCs w:val="24"/>
        </w:rPr>
        <w:t>I</w:t>
      </w:r>
      <w:r>
        <w:rPr>
          <w:rFonts w:ascii="Times New Roman" w:hAnsi="Times New Roman"/>
          <w:b/>
          <w:sz w:val="24"/>
          <w:szCs w:val="24"/>
          <w:lang w:val="ru-RU"/>
        </w:rPr>
        <w:t>. ОБ ИСПОЛНЕНИИ ЦЕНТРАЛЬНОГО И</w:t>
      </w:r>
    </w:p>
    <w:p>
      <w:pPr>
        <w:adjustRightInd w:val="0"/>
        <w:snapToGrid w:val="0"/>
        <w:spacing w:line="300" w:lineRule="auto"/>
        <w:jc w:val="center"/>
        <w:rPr>
          <w:rFonts w:ascii="Times New Roman" w:hAnsi="Times New Roman"/>
          <w:b/>
          <w:sz w:val="24"/>
          <w:szCs w:val="24"/>
          <w:lang w:val="ru-RU"/>
        </w:rPr>
      </w:pPr>
      <w:r>
        <w:rPr>
          <w:rFonts w:ascii="Times New Roman" w:hAnsi="Times New Roman"/>
          <w:b/>
          <w:sz w:val="24"/>
          <w:szCs w:val="24"/>
          <w:lang w:val="ru-RU"/>
        </w:rPr>
        <w:t>МЕСТНЫХ БЮДЖЕТОВ ЗА 2024 ГОД</w:t>
      </w:r>
    </w:p>
    <w:p>
      <w:pPr>
        <w:adjustRightInd w:val="0"/>
        <w:snapToGrid w:val="0"/>
        <w:spacing w:line="300" w:lineRule="auto"/>
        <w:rPr>
          <w:rFonts w:ascii="Times New Roman" w:hAnsi="Times New Roman"/>
          <w:sz w:val="24"/>
          <w:szCs w:val="24"/>
          <w:lang w:val="ru-RU"/>
        </w:rPr>
      </w:pP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2024 год был годом празднования 75-летия образования КНР, а также ключевым годом для выполнения целей и задач, намеченных в 14-й пятилетней программе. Перед лицом суровой и сложной обстановки, в условиях нарастающего внешнего давления и увеличивающихся внутренних трудностей, все регионы и ведомства под твердым руководством ЦК КПК, ядром которого является товарищ Си Цзиньпин, неуклонно руководствуясь идеями Си Цзиньпина о социализме с китайской спецификой новой эпохи, всесторонне претворяя в жизнь дух </w:t>
      </w:r>
      <w:r>
        <w:rPr>
          <w:rFonts w:ascii="Times New Roman" w:hAnsi="Times New Roman"/>
          <w:sz w:val="24"/>
          <w:szCs w:val="24"/>
          <w:lang w:val="ru-RU"/>
        </w:rPr>
        <w:fldChar w:fldCharType="begin"/>
      </w:r>
      <w:r>
        <w:rPr>
          <w:rFonts w:ascii="Times New Roman" w:hAnsi="Times New Roman"/>
          <w:sz w:val="24"/>
          <w:szCs w:val="24"/>
          <w:lang w:val="ru-RU"/>
        </w:rPr>
        <w:instrText xml:space="preserve"> = 20 \* ROMAN </w:instrText>
      </w:r>
      <w:r>
        <w:rPr>
          <w:rFonts w:ascii="Times New Roman" w:hAnsi="Times New Roman"/>
          <w:sz w:val="24"/>
          <w:szCs w:val="24"/>
          <w:lang w:val="ru-RU"/>
        </w:rPr>
        <w:fldChar w:fldCharType="separate"/>
      </w:r>
      <w:r>
        <w:rPr>
          <w:rFonts w:ascii="Times New Roman" w:hAnsi="Times New Roman"/>
          <w:sz w:val="24"/>
          <w:szCs w:val="24"/>
          <w:lang w:val="ru-RU"/>
        </w:rPr>
        <w:t>XX</w:t>
      </w:r>
      <w:r>
        <w:rPr>
          <w:rFonts w:ascii="Times New Roman" w:hAnsi="Times New Roman"/>
          <w:sz w:val="24"/>
          <w:szCs w:val="24"/>
          <w:lang w:val="ru-RU"/>
        </w:rPr>
        <w:fldChar w:fldCharType="end"/>
      </w:r>
      <w:r>
        <w:rPr>
          <w:rFonts w:ascii="Times New Roman" w:hAnsi="Times New Roman"/>
          <w:sz w:val="24"/>
          <w:szCs w:val="24"/>
          <w:lang w:val="ru-RU"/>
        </w:rPr>
        <w:t xml:space="preserve"> съезда КПК, 2-го и 3-го пленумов ЦК КПК 20-го созыва, в соответствии с решениями и планами ЦК КПК и Госсовета придерживались основного алгоритма работы – поступательного движения вперед при поддержании стабильности, неукоснительно исполняли рассмотренные и утвержденные на 2-й сессии ВСНП 14-го созыва бюджеты, своевременно улучшали макрорегулирование, эффективно реализовывали уже </w:t>
      </w:r>
      <w:r>
        <w:rPr>
          <w:rFonts w:ascii="Times New Roman" w:hAnsi="Times New Roman" w:eastAsia="MS Mincho"/>
          <w:sz w:val="24"/>
          <w:szCs w:val="24"/>
          <w:lang w:val="ru-RU" w:eastAsia="ja-JP"/>
        </w:rPr>
        <w:t xml:space="preserve">принятые </w:t>
      </w:r>
      <w:r>
        <w:rPr>
          <w:rFonts w:ascii="Times New Roman" w:hAnsi="Times New Roman"/>
          <w:sz w:val="24"/>
          <w:szCs w:val="24"/>
          <w:lang w:val="ru-RU"/>
        </w:rPr>
        <w:t>меры и претворяли в жизнь пакет дополнительных мер. В результате были успешно выполнены основные цели и задачи социально-экономического развития на 2024 год, основательно продвигалось высококачественное развитие, стабильно развивались производительные силы нового качества, непрерывно углублялись реформы, расширялась открытость, последовательно и эффективно устранялись риски в ключевых сферах, надежно обеспечивалось народное благосостояние. Непрерывно укреплялась экономическая, научно-техническая и совокупная национальная мощь Китая, были сделаны новые уверенные шаги в осуществлении китайской модернизации. В 2024 году центральный и местные бюджеты были исполнены довольно успешно.</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1. О состоянии доходов и расходов обычного общественного бюджета за 2024 год</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1) Об исполнении обычного общественного бюджета по всей стране</w:t>
      </w:r>
    </w:p>
    <w:p>
      <w:pPr>
        <w:adjustRightInd w:val="0"/>
        <w:snapToGrid w:val="0"/>
        <w:spacing w:line="300" w:lineRule="auto"/>
        <w:ind w:firstLine="420"/>
        <w:rPr>
          <w:rFonts w:ascii="Times New Roman" w:hAnsi="Times New Roman"/>
          <w:kern w:val="0"/>
          <w:sz w:val="24"/>
          <w:szCs w:val="24"/>
          <w:lang w:val="ru-RU"/>
        </w:rPr>
      </w:pPr>
      <w:r>
        <w:rPr>
          <w:rFonts w:ascii="Times New Roman" w:hAnsi="Times New Roman"/>
          <w:sz w:val="24"/>
          <w:szCs w:val="24"/>
          <w:lang w:val="ru-RU"/>
        </w:rPr>
        <w:t>Доходы обычного общественного бюджета по всей стране достигли 21970,212 млрд юаней и составили 98,1% от намеченного бюджетом показателя, увеличившись по сравнению с 2023 годом на 1,3%. В том числе налоговые поступления составили 17497,201 млрд юаней, снизившись на 3,4%. Это</w:t>
      </w:r>
      <w:r>
        <w:rPr>
          <w:rFonts w:ascii="Times New Roman" w:hAnsi="Times New Roman"/>
          <w:kern w:val="0"/>
          <w:sz w:val="24"/>
          <w:szCs w:val="24"/>
          <w:lang w:val="ru-RU"/>
        </w:rPr>
        <w:t xml:space="preserve"> в основном обусловлено значительным сокращением поступлений от некоторых видов налогов из-за последовательного снижения индекса цен производителей и других факторов. Неналоговые поступления составили 4473,011 млрд юаней, увеличившись на 25,4%. Это главным образом </w:t>
      </w:r>
      <w:bookmarkStart w:id="2" w:name="OLE_LINK26"/>
      <w:bookmarkStart w:id="3" w:name="OLE_LINK25"/>
      <w:r>
        <w:rPr>
          <w:rFonts w:ascii="Times New Roman" w:hAnsi="Times New Roman"/>
          <w:kern w:val="0"/>
          <w:sz w:val="24"/>
          <w:szCs w:val="24"/>
          <w:lang w:val="ru-RU"/>
        </w:rPr>
        <w:t>объясняется</w:t>
      </w:r>
      <w:bookmarkEnd w:id="2"/>
      <w:bookmarkEnd w:id="3"/>
      <w:r>
        <w:rPr>
          <w:rFonts w:ascii="Times New Roman" w:hAnsi="Times New Roman"/>
          <w:kern w:val="0"/>
          <w:sz w:val="24"/>
          <w:szCs w:val="24"/>
          <w:lang w:val="ru-RU"/>
        </w:rPr>
        <w:t xml:space="preserve"> единовременным внесением центральными организациями в данный бюджет целевых отчислений от их прибылей, а также заметным ростом доходов от хозяйствования госкапиталом и доходов от платного пользования государственными ресурсами (активами) благодаря более активному введению их в оборот местными правительствами в соответствии с законами и нормативными актами. С учетом перечисленных средств из фонда </w:t>
      </w:r>
      <w:bookmarkStart w:id="4" w:name="OLE_LINK14"/>
      <w:bookmarkStart w:id="5" w:name="OLE_LINK13"/>
      <w:r>
        <w:rPr>
          <w:rFonts w:ascii="Times New Roman" w:hAnsi="Times New Roman"/>
          <w:kern w:val="0"/>
          <w:sz w:val="24"/>
          <w:szCs w:val="24"/>
          <w:lang w:val="ru-RU"/>
        </w:rPr>
        <w:t xml:space="preserve">стабилизации и регулирования </w:t>
      </w:r>
      <w:bookmarkEnd w:id="4"/>
      <w:bookmarkEnd w:id="5"/>
      <w:r>
        <w:rPr>
          <w:rFonts w:ascii="Times New Roman" w:hAnsi="Times New Roman"/>
          <w:kern w:val="0"/>
          <w:sz w:val="24"/>
          <w:szCs w:val="24"/>
          <w:lang w:val="ru-RU"/>
        </w:rPr>
        <w:t>бюджетов, из бюджета правительственных фондов и бюджета хозяйствования госкапиталом, а также переходящих остатков и неиспользованных средств предыдущего года, которые в общей сложности составили 2541,05 млрд юаней, общая сумма доходов достигла 24511,262 млрд юаней. Расходы обычного общественного бюджета по всей стране достигли 28461,225 млрд юаней, составив 99,7% от предусмотренного бюджетом показателя и увеличившись на 3,6%. С учетом 110,037 млрд юаней, поступивших на пополнение фонда стабилизации и регулирования центрального бюджета, общий объем расходов составил 28571,262 млрд юаней. Сопоставление доходов и расходов показывает дефицит в размере 4060 млрд юаней, что соответствует бюджетному показателю.</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2) Об исполнении центрального обычного общественного бюджета</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Доходы центрального обычного общественного бюджета достигли 10043,571 млрд юаней, что составило 98,1% от намеченного бюджетом показателя с увеличением на 0,9%. С учетом 248,2 млрд юаней, перечисленных из фонда стабилизации и регулирования центрального бюджета, 90 млрд юаней из бюджета центральных правительственных фондов и бюджета хозяйствования центральным госкапиталом, а также переходящих остатков бюджета предыдущего года в размере 500 млрд юаней, общий объем доходов составил 10881,771 млрд юаней. Расходы центрального обычного общественного бюджета составили 14111,734 млрд юаней или 98% от предусмотренного бюджетом показателя, что в основном соответствует уровню 2023 года. В том числе собственные расходы данного бюджета достигли 4072,018 млрд юаней, составив 98,1% от запланированного бюджетом показателя и увеличившись на 6,5%. Трансфертные платежи в местные бюджеты достигли 10039,716 млрд юаней или 98,4% от предусмотренного бюджетом показателя, снизившись на 2,4%. Это связано в основном с тем, что фактический объем исполнения части расходных обязательств оказался ниже бюджетного показателя. С учетом 110,037 млрд юаней, выделенных на пополнение фонда стабилизации и регулирования центрального бюджета, общий объем расходов составил 14221,771 млрд юаней. Сопоставление доходов и расходов показывает дефицит центрального бюджета в размере 3340 млрд юаней, что соответствует бюджетному показателю.</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Конкретные показатели исполнения центрального обычного общественного бюджета по основным доходным статьям: поступления НДС внутри страны составили 3322,25 млрд юаней или 92,1% от намеченного бюджетом показателя, снизившись на 3,9%. Это главным образом объясняется тем, что индекс цен производителей оказался ниже предполагаемого уровня. Поступления акцизов внутри страны достигли 1653,215 млрд юаней и составили 95,9% от намеченного бюджетом показателя с увеличением на 2,6%. Поступления подоходного налога с предприятий составили 2643,588 млрд юаней или 96,3% от предусмотренного бюджетом показателя, увеличившись на 0,1%. Поступления НДФЛ достигли 871,317 млрд юаней, составив 92,5% от запланированного бюджетом показателя и сократившись на 1,7%. Это </w:t>
      </w:r>
      <w:bookmarkStart w:id="6" w:name="OLE_LINK24"/>
      <w:bookmarkStart w:id="7" w:name="OLE_LINK23"/>
      <w:r>
        <w:rPr>
          <w:rFonts w:ascii="Times New Roman" w:hAnsi="Times New Roman"/>
          <w:sz w:val="24"/>
          <w:szCs w:val="24"/>
          <w:lang w:val="ru-RU"/>
        </w:rPr>
        <w:t>главным образом</w:t>
      </w:r>
      <w:bookmarkEnd w:id="6"/>
      <w:bookmarkEnd w:id="7"/>
      <w:r>
        <w:rPr>
          <w:rFonts w:ascii="Times New Roman" w:hAnsi="Times New Roman"/>
          <w:sz w:val="24"/>
          <w:szCs w:val="24"/>
          <w:lang w:val="ru-RU"/>
        </w:rPr>
        <w:t xml:space="preserve"> объясняется снижением поступлений НДФЛ, связанных с передачей имущества. Доходы от гербового сбора по операциям с ценными бумагами составили 127,588 млрд юаней или 111,9% от намеченного бюджетом показателя, сократившись на 29,1%. Это в основном обусловлено тем, что в течение всего 2024 года продолжала осуществляться введенная в середине 2023 года политика по снижению наполовину гербового сбора по операциям с ценными бумагами, что в определенной степени привело к сокращению вышеуказанных доходов. Поступления таможенных пошлин составили 244,301 млрд юаней или 90,8% от предусмотренного бюджетом показателя, сократившись на 5,7%. Поступления НДС и акцизов на импортные товары составили 1917,746 млрд юаней или 94,6% от предусмотренного бюджетом показателя с уменьшением на 1,6%. Это в основном обусловлено снижением цен на сырьевые товары и сокращением доли импорта в обычной торговле. </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Собственные расходы центрального обычного общественного бюджета достигли 4072,018 млрд юаней, составив 14,3% от расходов обычного общественного бюджета по всей стране. Конкретные показатели собственных расходов центрального обычного общественного бюджета по основным статьям: расходы на внешнеполитическую деятельность составили 59,519 млрд юаней или 97,9% от запланированного бюджетом показателя. Расходы на национальную оборону – 1665,208 млрд юаней или 100% от предусмотренного бюджетом показателя. Расходы на обеспечение общественной безопасности – 226,256 млрд юаней или 99,4% от предусмотренного бюджетом показателя. Расходы на образование – 166,071 млрд юаней или 100,7% от запланированного бюджетом показателя. Расходы на науку и технику – 361,909 млрд юаней или 97,6% от предусмотренного бюджетом показателя. Расходы на создание резервов зерновых, масла и других материальных ресурсов – 124,038 млрд юаней или 88,2% от запланированного бюджетом показателя, что объясняется главным образом сокращением соответствующих инвестиций центрального бюджета. Расходы на выплату процентов по долговым обязательствам – 757,315 млрд юаней или 97,4% от предусмотренного бюджетом показателя.</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Конкретные показатели трансфертных платежей из центрального бюджета в местные: обычные трансферты достигли 8722,288 млрд юаней или 97,7% от намеченного бюджетом показателя. Недовыполнение этого показателя в основном обусловлено тем, что денежные средства на экстренное реагирование на чрезвычайные ситуации и оказание помощи пострадавшим от стихийных бедствий были выделены в соответствии с реальными потребностями. Целевые трансферты составили 817,428 млрд юаней или 104,9% от запланированного бюджетом показателя. Перевыполнение этого показателя объясняется главным образом перечислением части инвестиций центрального бюджета из статей собственных расходов центрального бюджета в статьи трансфертных платежей местным бюджетам. Единовременные дотации на проведение восстановительных работ после природных катаклизмов и на наращивание потенциала в области предупреждения стихийных бедствий, минимизации их последствий и оказания помощи пострадавшим составили 500 млрд юаней или 100% от запланированного бюджетом показателя. </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В 2024 году остатки центрального обычного общественного бюджета в размере 110,037 млрд юаней (включая резервные средства центрального бюджета в размере 50 млрд юаней, которые остались неиспользованными и были зачислены в неизрасходованные средства 2024 года) были в полном объеме направлены на пополнение фонда стабилизации и регулирования центрального бюджета. С учетом 2,98 млрд юаней, поступивших на пополнение фонда стабилизации и регулирования центрального бюджета из переходящих остатков и неиспользованных средств центральных правительственных фондов, к концу 2024 года остатки этого фонда достигли 273,922 млрд юаней.</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 xml:space="preserve">3) Об исполнении местных </w:t>
      </w:r>
      <w:r>
        <w:rPr>
          <w:rFonts w:ascii="Times New Roman" w:hAnsi="Times New Roman" w:eastAsia="MS Mincho"/>
          <w:b/>
          <w:sz w:val="24"/>
          <w:szCs w:val="24"/>
          <w:lang w:val="ru-RU" w:eastAsia="ja-JP"/>
        </w:rPr>
        <w:t xml:space="preserve">обычных </w:t>
      </w:r>
      <w:r>
        <w:rPr>
          <w:rFonts w:ascii="Times New Roman" w:hAnsi="Times New Roman"/>
          <w:b/>
          <w:sz w:val="24"/>
          <w:szCs w:val="24"/>
          <w:lang w:val="ru-RU"/>
        </w:rPr>
        <w:t>общественных бюджетов</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Доходы местных обычных общественных бюджетов достигли 21966,357 млрд юаней, в том числе их собственные доходы составили 11926,641 млрд юаней, увеличившись на 1,7%; </w:t>
      </w:r>
      <w:bookmarkStart w:id="8" w:name="OLE_LINK2"/>
      <w:bookmarkStart w:id="9" w:name="OLE_LINK1"/>
      <w:r>
        <w:rPr>
          <w:rFonts w:ascii="Times New Roman" w:hAnsi="Times New Roman"/>
          <w:sz w:val="24"/>
          <w:szCs w:val="24"/>
          <w:lang w:val="ru-RU"/>
        </w:rPr>
        <w:t>доходы от трансфертных платежей из центрального бюджета в местные</w:t>
      </w:r>
      <w:bookmarkEnd w:id="8"/>
      <w:bookmarkEnd w:id="9"/>
      <w:r>
        <w:rPr>
          <w:rFonts w:ascii="Times New Roman" w:hAnsi="Times New Roman"/>
          <w:sz w:val="24"/>
          <w:szCs w:val="24"/>
          <w:lang w:val="ru-RU"/>
        </w:rPr>
        <w:t xml:space="preserve"> составили 10039,716 млрд юаней. С учетом перечисленных средств из фондов стабилизации и регулирования местных бюджетов, из бюджетов местных правительственных фондов и бюджетов хозяйствования госкапиталом, а также переходящих остатков и неиспользованных средств предыдущего года, которые в общей сложности составили 1702,85 млрд юаней, общая сумма доходов достигла 23669,207 млрд юаней. Расходы местных обычных общественных бюджетов достигли 24389,207 млрд юаней с увеличением на 3,2%, составив 85,7% от расходов обычного общественного бюджета по всей стране. Сопоставление доходов и расходов показывает дефицит местных бюджетов в размере 720 млрд юаней, что соответствует бюджетному показателю.</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2. О состоянии доходов и расходов бюджета правительственных фондов за 2024 год</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Доходы бюджета правительственных фондов по всей стране достигли 6209,04 млрд юаней со снижением на 12,2%, составив 87,7% от намеченного бюджетом показателя. Это в основном обусловлено уменьшением доходов местных бюджетов от передачи прав на пользование государственными земельными участками. С учетом переходящих остатков бюджета 2023 года в размере 39,187 млрд юаней, доходов от выпуска сверхдолгосрочных специальных государственных облигаций в размере 1000 млрд юаней, а также аккумулированных местными правительствами посредством выпуска целевых облигаций средств в размере 3900 млрд юаней, общий объем поступлений в данный бюджет достиг 11148,227 млрд юаней. Расходы бюджета правительственных фондов по всей стране составили 10147,782 млрд юаней или 84,4% от намеченного бюджетом показателя, увеличившись на 0,2%.</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Доходы бюджета центральных правительственных фондов составили 473,467 млрд юаней или 105,8% от намеченного бюджетом показателя, увеличившись на 7,2%. С учетом переходящих остатков бюджета 2023 года в размере 39,187 млрд юаней, а также доходов от выпуска сверхдолгосрочных специальных государственных облигаций в размере 1000 млрд юаней, общий объем поступлений в данный бюджет достиг 1512,654 млрд юаней. Расходы бюджета центральных правительственных фондов составили 1456,177 млрд юаней или 98% от предусмотренного бюджетом показателя, в том числе собственные расходы бюджета в размере 467,918 млрд юаней (включая расходы в размере 124,704 млрд юаней, реализованные за счет сверхдолгосрочных специальных государственных облигаций) и трансфертные платежи в местные бюджеты в размере 988,259 млрд юаней (включая расходы в размере 875,296 млрд юаней, реализованные за счет сверхдолгосрочных специальных государственных облигаций). Объем перечисленных в центральный обычный общественный бюджет средств составил 15 млрд юаней. Активное сальдо бюджетного баланса центральных правительственных фондов составило 41,477 млрд юаней, из них 38,497 млрд юаней было перечислено в бюджет 2025 года, 2,98 млрд юаней в установленном порядке было направлено на пополнение фонда стабилизации и регулирования центрального бюджета.</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Собственные доходы бюджетов местных правительственных фондов достигли 5735,573 млрд юаней со снижением на 13,5%. С учетом поступивших на места трансфертов из бюджета центральных правительственных фондов в размере 988,259 млрд юаней и аккумулированных местными правительствами посредством выпуска целевых облигаций средств в размере 3900 млрд юаней, общий объем поступлений в бюджеты местных правительственных фондов составил 10623,832 млрд юаней. </w:t>
      </w:r>
      <w:bookmarkStart w:id="10" w:name="OLE_LINK15"/>
      <w:bookmarkStart w:id="11" w:name="OLE_LINK16"/>
      <w:r>
        <w:rPr>
          <w:rFonts w:ascii="Times New Roman" w:hAnsi="Times New Roman"/>
          <w:sz w:val="24"/>
          <w:szCs w:val="24"/>
          <w:lang w:val="ru-RU"/>
        </w:rPr>
        <w:t>Общий объем выплат</w:t>
      </w:r>
      <w:bookmarkEnd w:id="10"/>
      <w:bookmarkEnd w:id="11"/>
      <w:r>
        <w:rPr>
          <w:rFonts w:ascii="Times New Roman" w:hAnsi="Times New Roman"/>
          <w:sz w:val="24"/>
          <w:szCs w:val="24"/>
          <w:lang w:val="ru-RU"/>
        </w:rPr>
        <w:t xml:space="preserve"> из бюджетов местных правительственных фондов составил 9679,864 млрд юаней с увеличением на 0,4%.</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3. О состоянии доходов и расходов бюджета хозяйствования госкапиталом за 2024 год</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В соответствии с установками об управлении бюджетом хозяйствования госкапиталом доходы данного бюджета главным образом формируются на основе отчислений по определенной пропорции от чистой прибыли госпредприятий в истекшем году, а соответствующие расходы данного бюджета планируются по принципу равновесия доходов и расходов. </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Доходы бюджета хозяйствования госкапиталом по всей стране составили 678,288 млрд юаней или 114,5% от предусмотренного бюджетом показателя, увеличившись на 0,6%. Расходы из данного бюджета составили 312,886 млрд юаней или 95,3% от намеченного бюджетом показателя, снизившись на 6,5%. </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Доходы бюджета хозяйствования центральным госкапиталом достигли 225,205 млрд юаней, составив 94,1% от намеченного бюджетом показателя и снизившись на 0,5%. С учетом переходящих остатков бюджета 2023 года в размере 10,735 млрд юаней общий объем поступлений в данный бюджет достиг 235,94 млрд юаней. Расходы данного бюджета составили 155,52 млрд юаней или 88,9% от намеченного бюджетом показателя, увеличившись на 4%, в том числе собственные расходы бюджета в размере 151,503 млрд юаней и трансфертные платежи в местные бюджеты в размере 4,017 млрд юаней. Объем перечисленных в центральный обычный общественный бюджет средств составил 75 млрд юаней. 5,42 млрд юаней было перечислено в бюджет следующего года.</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Собственные доходы бюджетов хозяйствования местным госкапиталом достигли 453,083 млрд юаней, увеличившись на 1,2%. С учетом поступивших на места трансфертных платежей из бюджета хозяйствования центральным госкапиталом в размере 4,017 млрд юаней общий объем поступлений в бюджеты хозяйствования местным госкапиталом составил 457,1 млрд юаней. Расходы данных бюджетов составили 161,383 млрд юаней, сократившись на 14,9%. Это объясняется главным образом сокращением расходов на решение давних нерешенных проблем и других выплат. Сумма перечисленных в местные обычные общественные бюджеты средств составила 295,717 млрд юаней.</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4. О состоянии доходов и расходов бюджета фондов социального страхования за 2024 год</w:t>
      </w:r>
    </w:p>
    <w:p>
      <w:pPr>
        <w:adjustRightInd w:val="0"/>
        <w:snapToGrid w:val="0"/>
        <w:spacing w:line="300" w:lineRule="auto"/>
        <w:ind w:firstLine="420"/>
        <w:rPr>
          <w:rFonts w:ascii="Times New Roman" w:hAnsi="Times New Roman"/>
          <w:kern w:val="0"/>
          <w:sz w:val="24"/>
          <w:szCs w:val="24"/>
          <w:lang w:val="ru-RU"/>
        </w:rPr>
      </w:pPr>
      <w:r>
        <w:rPr>
          <w:rFonts w:ascii="Times New Roman" w:hAnsi="Times New Roman"/>
          <w:sz w:val="24"/>
          <w:szCs w:val="24"/>
          <w:lang w:val="ru-RU"/>
        </w:rPr>
        <w:t>Поступления в бюджет фондов социального страхования по всей стране достигли 11894,47 млрд юаней или 101,2% от намеченного бюджетом показателя, увеличившись на 5,2%. В том числе доходы от страховых взносов составили 8709,212 млрд юаней с увеличением на 4,4%, а доходы от финансовых дотаций – 2686,13 млрд юаней с увеличением на 10,7%. Это главным образом объясняется увеличением средств, выделенных из бюджетов всех уровней на субсидирование базового страхования по старости и иных сфер. Выплаты из бюджета фондов социального страхования по всей стране достигли 10606,128 млрд юаней или 99,3% от предусмотренного бюджетом показателя,</w:t>
      </w:r>
      <w:r>
        <w:rPr>
          <w:rFonts w:ascii="Times New Roman" w:hAnsi="Times New Roman"/>
          <w:kern w:val="0"/>
          <w:sz w:val="24"/>
          <w:szCs w:val="24"/>
          <w:lang w:val="ru-RU"/>
        </w:rPr>
        <w:t xml:space="preserve"> увеличившись на 7%. Активное сальдо бюджетного баланса за 2024 год составило 1288,342 млрд юаней, а накопленные остатки к концу года достигли 14337,23 млрд юаней.</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Поступления в бюджет центрального фонда социального страхования достигли 53,937 млрд юаней или 109,2% от намеченного бюджетом показателя; выплаты из данного бюджета составили 46,192 млрд юаней или 94,9% от намеченного бюджетом показателя. В рамках внедрения системы единого по всей стране планирования фондов базового страхования по старости для рабочих и служащих предприятий местные отчисления составили 253,182 млрд юаней, а центральные ассигнования – 253,264 млрд юаней (разница между ними в размере 82 млн юаней возникла главным образом в связи с использованием процентных доходов от средств, сформированных в результате осуществления единого регулирования в 2023 году). С учетом вышеуказанной разницы в размере 82 млн юаней активное сальдо бюджетного баланса центрального фонда социального страхования за 2024 год составило 7,663 млрд юаней, а накопленные остатки к концу года – 11,634 млрд юаней.</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Поступления в бюджеты местных фондов социального страхования достигли 11840,533 млрд юаней, а выплаты из данных бюджетов составили 10559,936 млрд юаней. С учетом вышеуказанной разницы между местными отчислениями и центральными ассигнованиями в размере 82 млн юаней, активное сальдо бюджетного баланса за 2024 год составило 1280,679 млрд юаней, а накопленные остатки к концу года достигли 14325,596 млрд юаней.</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В 2024 году после рассмотрения и утверждения ПК ВСНП был установлен дополнительный лимит долговых обязательств местных правительств в размере 6000 млрд юаней, предназначенный для конверсии накопившихся скрытых долгов, таким образом лимит долговых обязательств местных правительств достиг 52787,43 млрд юаней. К концу 2024 года накопившаяся сумма госдолга составила 34572,362 млрд юаней, не превысив утвержденный ВСНП лимит в размере 35200,835 млрд юаней. Общий объем непогашенного долга местных правительств достиг 47537,055 млрд юаней (включая долговые обязательства для конверсии накопившихся скрытых долгов), в том числе остатки обычных долгов – 16701,277 млрд юаней, остатки целевых долгов – 30835,778 млрд юаней. Вышеуказанные показатели остались в пределах установленного ВСНП лимита местных долгов.</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Конкретную информацию и соответствующие разъяснения об исполнении вышеуказанных бюджетов см. в документе об исполнении бюджета КНР за 2024 и проекте государственного бюджета на 2025 год. </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5. О реализации основных мер бюджетно-налоговой политики и выполнении главных задач финансовой работы в 2024 году</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В 2024 году финансовые органы добросовестно претворяли в жизнь решения и планы ЦК КПК и Госсовета, реализовывали постановление ВСНП о бюджетах, а также предложения и требования ВСНП по результатам рассмотрения бюджетов. Внимательно выслушав мнения и предложения депутатов ВСНП и членов ВК НПКСК по оптимизации бюджетного управления и улучшению финансовой работы, мы усиливали финансовое обеспечение в области выполнения важнейших государственных стратегических задач и гарантирования базового уровня благосостояния населения, своевременно разработали и ввели в действие дополнительные меры в финансовой сфере и меры по устранению рисков, связанных с долговыми обязательствами, запланировали работу по продвижению реформы бюджетно-налоговой системы, усиливали финансовое управление и контроль, что предоставило надежную поддержку в выполнении намеченных на 2024 год основных целей и задач социально-экономического развития.</w:t>
      </w:r>
    </w:p>
    <w:p>
      <w:pPr>
        <w:adjustRightInd w:val="0"/>
        <w:snapToGrid w:val="0"/>
        <w:spacing w:line="300" w:lineRule="auto"/>
        <w:ind w:firstLine="420"/>
        <w:rPr>
          <w:rFonts w:ascii="Times New Roman" w:hAnsi="Times New Roman"/>
          <w:kern w:val="0"/>
          <w:sz w:val="24"/>
          <w:szCs w:val="24"/>
          <w:lang w:val="ru-RU"/>
        </w:rPr>
      </w:pPr>
      <w:r>
        <w:rPr>
          <w:rFonts w:ascii="Times New Roman" w:hAnsi="Times New Roman"/>
          <w:b/>
          <w:sz w:val="24"/>
          <w:szCs w:val="24"/>
          <w:lang w:val="ru-RU"/>
        </w:rPr>
        <w:t xml:space="preserve">Эффективно реализовывались действующие и нововведенные госмеры в финансовой сфере. </w:t>
      </w:r>
      <w:r>
        <w:rPr>
          <w:rFonts w:ascii="Times New Roman" w:hAnsi="Times New Roman"/>
          <w:sz w:val="24"/>
          <w:szCs w:val="24"/>
          <w:lang w:val="ru-RU"/>
        </w:rPr>
        <w:t xml:space="preserve">Объем финансовых расходов поддерживался на относительно высоком уровне, за 2024 год расходы обычных общественных бюджетов превысили 28 трлн юаней. Были успешно выпущены сверхдолгосрочные специальные гособлигации в размере 1000 млрд юаней, при этом усиливалось управление и контроль за использованием этих средств. В частности, 700 млрд юаней были использованы для поддержки осуществления важнейших государственных стратегий и наращивания возможностей по обеспечению безопасности в ключевых сферах. 300 млрд юаней были выделены на поддержку осуществления в широких масштабах модернизации оборудования и торговли потребительскими товарами по схеме трейд-ин. </w:t>
      </w:r>
      <w:bookmarkStart w:id="12" w:name="OLE_LINK18"/>
      <w:bookmarkStart w:id="13" w:name="OLE_LINK17"/>
      <w:r>
        <w:rPr>
          <w:rFonts w:ascii="Times New Roman" w:hAnsi="Times New Roman"/>
          <w:sz w:val="24"/>
          <w:szCs w:val="24"/>
          <w:lang w:val="ru-RU"/>
        </w:rPr>
        <w:t>В особенности</w:t>
      </w:r>
      <w:bookmarkEnd w:id="12"/>
      <w:bookmarkEnd w:id="13"/>
      <w:r>
        <w:rPr>
          <w:rFonts w:ascii="Times New Roman" w:hAnsi="Times New Roman"/>
          <w:sz w:val="24"/>
          <w:szCs w:val="24"/>
          <w:lang w:val="ru-RU"/>
        </w:rPr>
        <w:t xml:space="preserve"> мы увеличили субсидии на замену старых автомобилей новыми по программе утилизации, а также на приобретение бытовой техники по схеме трейд-ин. Наряду с этим мы четко установили негативный список, регламентирующий использование выделенных средств, обеспечив потребителям возможность получать реальную выгоду. По предварительным данным, количество автомобилей и бытовых приборов, приобретенных по схеме трейд-ин, достигло 6,8 млн и 62 млн соответственно, а общий объем их продаж превысил 1,3 трлн юаней. Мы эффективно использовали денежные средства, полученные от дополнительного выпуска гособлигаций в 2023 году, направляли их на </w:t>
      </w:r>
      <w:bookmarkStart w:id="14" w:name="OLE_LINK28"/>
      <w:bookmarkStart w:id="15" w:name="OLE_LINK27"/>
      <w:r>
        <w:rPr>
          <w:rFonts w:ascii="Times New Roman" w:hAnsi="Times New Roman"/>
          <w:sz w:val="24"/>
          <w:szCs w:val="24"/>
          <w:lang w:val="ru-RU"/>
        </w:rPr>
        <w:t>поддержку местных правительств</w:t>
      </w:r>
      <w:bookmarkEnd w:id="14"/>
      <w:bookmarkEnd w:id="15"/>
      <w:r>
        <w:rPr>
          <w:rFonts w:ascii="Times New Roman" w:hAnsi="Times New Roman"/>
          <w:sz w:val="24"/>
          <w:szCs w:val="24"/>
          <w:lang w:val="ru-RU"/>
        </w:rPr>
        <w:t xml:space="preserve"> в выполнении восстановительных работ после стихийных бедствий и повышении потенциала в области предупреждения стихийных бедствий, минимизации их последствий и оказания помощи пострадавшим, а более 15 тыс. проектов, финансируемых за счет этих облигаций, были полностью включены в </w:t>
      </w:r>
      <w:bookmarkStart w:id="16" w:name="OLE_LINK34"/>
      <w:bookmarkStart w:id="17" w:name="OLE_LINK33"/>
      <w:r>
        <w:rPr>
          <w:rFonts w:ascii="Times New Roman" w:hAnsi="Times New Roman"/>
          <w:sz w:val="24"/>
          <w:szCs w:val="24"/>
          <w:lang w:val="ru-RU"/>
        </w:rPr>
        <w:t>сферу всестороннего управления и контроля</w:t>
      </w:r>
      <w:bookmarkEnd w:id="16"/>
      <w:bookmarkEnd w:id="17"/>
      <w:r>
        <w:rPr>
          <w:rFonts w:ascii="Times New Roman" w:hAnsi="Times New Roman"/>
          <w:sz w:val="24"/>
          <w:szCs w:val="24"/>
          <w:lang w:val="ru-RU"/>
        </w:rPr>
        <w:t xml:space="preserve">. Мы ускоряли темпы выпуска и использования целевых облигаций местных правительств, расширяли области вложения средств от них и сферу использования этих средств в качестве уставного капитала проектов, усиливали управление всеми процессами работы, включая получение заемных средств, их использование, управление и возврат. В результате более 40 тыс. проектов получили финансовую поддержку, более 350 млрд юаней были расходованы в качестве уставного капитала проектов. С учетом новых обстоятельств и новых проблем в функционировании экономики, в третьем квартале </w:t>
      </w:r>
      <w:bookmarkStart w:id="18" w:name="OLE_LINK8"/>
      <w:bookmarkStart w:id="19" w:name="OLE_LINK7"/>
      <w:r>
        <w:rPr>
          <w:rFonts w:ascii="Times New Roman" w:hAnsi="Times New Roman"/>
          <w:sz w:val="24"/>
          <w:szCs w:val="24"/>
          <w:lang w:val="ru-RU"/>
        </w:rPr>
        <w:t xml:space="preserve">на основе результатов исследований </w:t>
      </w:r>
      <w:bookmarkEnd w:id="18"/>
      <w:bookmarkEnd w:id="19"/>
      <w:r>
        <w:rPr>
          <w:rFonts w:ascii="Times New Roman" w:hAnsi="Times New Roman"/>
          <w:sz w:val="24"/>
          <w:szCs w:val="24"/>
          <w:lang w:val="ru-RU"/>
        </w:rPr>
        <w:t>мы своевременно опубликовали</w:t>
      </w:r>
      <w:bookmarkStart w:id="20" w:name="OLE_LINK30"/>
      <w:bookmarkStart w:id="21" w:name="OLE_LINK29"/>
      <w:r>
        <w:rPr>
          <w:rFonts w:ascii="Times New Roman" w:hAnsi="Times New Roman"/>
          <w:sz w:val="24"/>
          <w:szCs w:val="24"/>
          <w:lang w:val="ru-RU"/>
        </w:rPr>
        <w:t xml:space="preserve"> дополнительные политические установки</w:t>
      </w:r>
      <w:bookmarkEnd w:id="20"/>
      <w:bookmarkEnd w:id="21"/>
      <w:r>
        <w:rPr>
          <w:rFonts w:ascii="Times New Roman" w:hAnsi="Times New Roman"/>
          <w:sz w:val="24"/>
          <w:szCs w:val="24"/>
          <w:lang w:val="ru-RU"/>
        </w:rPr>
        <w:t xml:space="preserve"> в финансовой сфере, принимали интенсивные меры в области предложения и спроса, ускорили темпы их реализации. Был проработан вопрос о выпуске специальных гособлигаций для поддержки крупных государственных коммерческих банков в пополнении основного капитала первого уровня. Мы разработали четкие налоговые меры в соответствии с политикой отмены стандартов в отношении массового жилья и жилья повышенной комфортности, продвигали работу по использованию целевых облигаций для поддержки резервирования земельных участков, выкупа нереализованного товарного жилья с целью последующего перевода его в социальное жилье. </w:t>
      </w:r>
      <w:bookmarkStart w:id="22" w:name="OLE_LINK69"/>
      <w:bookmarkStart w:id="23" w:name="OLE_LINK70"/>
      <w:r>
        <w:rPr>
          <w:rFonts w:ascii="Times New Roman" w:hAnsi="Times New Roman"/>
          <w:kern w:val="0"/>
          <w:sz w:val="24"/>
          <w:szCs w:val="24"/>
          <w:lang w:val="ru-RU"/>
        </w:rPr>
        <w:t xml:space="preserve">Наряду с этим мы увеличили </w:t>
      </w:r>
      <w:bookmarkStart w:id="24" w:name="OLE_LINK67"/>
      <w:bookmarkStart w:id="25" w:name="OLE_LINK68"/>
      <w:r>
        <w:rPr>
          <w:rFonts w:ascii="Times New Roman" w:hAnsi="Times New Roman"/>
          <w:kern w:val="0"/>
          <w:sz w:val="24"/>
          <w:szCs w:val="24"/>
          <w:lang w:val="ru-RU"/>
        </w:rPr>
        <w:t>размеры государственных образовательных грантов и стипендий с расширением их охвата</w:t>
      </w:r>
      <w:bookmarkEnd w:id="24"/>
      <w:bookmarkEnd w:id="25"/>
      <w:r>
        <w:rPr>
          <w:rFonts w:ascii="Times New Roman" w:hAnsi="Times New Roman"/>
          <w:kern w:val="0"/>
          <w:sz w:val="24"/>
          <w:szCs w:val="24"/>
          <w:lang w:val="ru-RU"/>
        </w:rPr>
        <w:t>, повысили нормы государственного образовательного кредита и снизили процентную ставку по нему, что принесло пользу более 34 млн</w:t>
      </w:r>
      <w:bookmarkEnd w:id="22"/>
      <w:bookmarkEnd w:id="23"/>
      <w:r>
        <w:rPr>
          <w:rFonts w:ascii="Times New Roman" w:hAnsi="Times New Roman"/>
          <w:kern w:val="0"/>
          <w:sz w:val="24"/>
          <w:szCs w:val="24"/>
          <w:lang w:val="ru-RU"/>
        </w:rPr>
        <w:t xml:space="preserve"> учащихся. </w:t>
      </w:r>
      <w:bookmarkStart w:id="26" w:name="OLE_LINK32"/>
      <w:bookmarkStart w:id="27" w:name="OLE_LINK31"/>
      <w:r>
        <w:rPr>
          <w:rFonts w:ascii="Times New Roman" w:hAnsi="Times New Roman"/>
          <w:kern w:val="0"/>
          <w:sz w:val="24"/>
          <w:szCs w:val="24"/>
          <w:lang w:val="ru-RU"/>
        </w:rPr>
        <w:t>Ко Дню образования КН</w:t>
      </w:r>
      <w:bookmarkEnd w:id="26"/>
      <w:bookmarkEnd w:id="27"/>
      <w:r>
        <w:rPr>
          <w:rFonts w:ascii="Times New Roman" w:hAnsi="Times New Roman"/>
          <w:kern w:val="0"/>
          <w:sz w:val="24"/>
          <w:szCs w:val="24"/>
          <w:lang w:val="ru-RU"/>
        </w:rPr>
        <w:t xml:space="preserve">Р более 11 млн человек из </w:t>
      </w:r>
      <w:bookmarkStart w:id="28" w:name="OLE_LINK9"/>
      <w:bookmarkStart w:id="29" w:name="OLE_LINK10"/>
      <w:r>
        <w:rPr>
          <w:rFonts w:ascii="Times New Roman" w:hAnsi="Times New Roman"/>
          <w:kern w:val="0"/>
          <w:sz w:val="24"/>
          <w:szCs w:val="24"/>
          <w:lang w:val="ru-RU"/>
        </w:rPr>
        <w:t>числа малообеспеченных категорий населения</w:t>
      </w:r>
      <w:bookmarkEnd w:id="28"/>
      <w:bookmarkEnd w:id="29"/>
      <w:r>
        <w:rPr>
          <w:rFonts w:ascii="Times New Roman" w:hAnsi="Times New Roman"/>
          <w:kern w:val="0"/>
          <w:sz w:val="24"/>
          <w:szCs w:val="24"/>
          <w:lang w:val="ru-RU"/>
        </w:rPr>
        <w:t xml:space="preserve"> получили единовременные пособия. Наряду с этим, мы формировали и совершенствовали рабочий механизм управления ожиданиями в сфере финансовой политики, инициативно заявляли свою позицию перед международным сообществом, что укрепило уверенность и стабилизировало ожидания общества. </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 xml:space="preserve">Основательно продвигалось высококачественное развитие. </w:t>
      </w:r>
      <w:r>
        <w:rPr>
          <w:rFonts w:ascii="Times New Roman" w:hAnsi="Times New Roman"/>
          <w:sz w:val="24"/>
          <w:szCs w:val="24"/>
          <w:lang w:val="ru-RU"/>
        </w:rPr>
        <w:t xml:space="preserve">В контексте активной поддержки превращения Китая в мировую научно-техническую державу значительно увеличились собственные расходы центрального бюджета на развитие науки и техники, в том числе на фундаментальные исследования. Усиливалось единое планирование бюджетной, финансовой, производственной, кадровой политики и политики оплаты труда, ориентированных на поддержку научно-технических инноваций, укреплялась интеграция государственных мер в этих сферах с целью повышения уровня самостоятельности и самодостаточности Китая в области науки и техники. Была оказана поддержка в запуске программы «Научно-технические инновации 2030 – мегапроекты», произошли важные сдвиги в области интегральных схем, искусственного интеллекта и др. Мы осуществляли специальный план гарантийной поддержки научно-технических инноваций. Опираясь на государственный фонд гарантирования финансирования, мы усиливали работу по разделению и компенсации рисков для малых и средних предприятий, занимающихся научно-техническими инновациями. Была создана и усовершенствована система правительственных закупок, основанная на совместных инновациях. </w:t>
      </w:r>
      <w:bookmarkStart w:id="30" w:name="OLE_LINK82"/>
      <w:bookmarkStart w:id="31" w:name="OLE_LINK83"/>
      <w:r>
        <w:rPr>
          <w:rFonts w:ascii="Times New Roman" w:hAnsi="Times New Roman"/>
          <w:sz w:val="24"/>
          <w:szCs w:val="24"/>
          <w:lang w:val="ru-RU"/>
        </w:rPr>
        <w:t>Совершенствовались государственные меры по субсидированию взносов на страхование первых партий ключевого технологического оборудования и первых образцов новых материалов, поощрялась деятельность по разработке, распространению и внедрению инновационной продукции.</w:t>
      </w:r>
      <w:bookmarkEnd w:id="30"/>
      <w:bookmarkEnd w:id="31"/>
      <w:r>
        <w:rPr>
          <w:rFonts w:ascii="Times New Roman" w:hAnsi="Times New Roman"/>
          <w:sz w:val="24"/>
          <w:szCs w:val="24"/>
          <w:lang w:val="ru-RU"/>
        </w:rPr>
        <w:t xml:space="preserve"> Мы опубликовали ориентировочный перечень основных налоговых льгот, применяемых для поддержки развития обрабатывающей промышленности, научно-технических инноваций, слияния и реорганизации предприятий, что обеспечило снижение нагрузки на предприятия и повышение их инновационного потенциала. В 20 городах осуществлялись пилотные проекты по перевооружению обрабатывающей промышленности с помощью новейших технологий, продвигалась работа в этой области с акцентом на интеллектуальную реконструкцию, цифровую трансформацию и сетевое взаимодействие. Был запущен новый раунд реализации политических установок по поощрению и субсидированию малых и средних предприятий, отличающихся специализированностью, детализированностью, уникальностью и инновационностью.</w:t>
      </w:r>
      <w:bookmarkStart w:id="32" w:name="OLE_LINK12"/>
      <w:bookmarkStart w:id="33" w:name="OLE_LINK11"/>
      <w:r>
        <w:rPr>
          <w:rFonts w:ascii="Times New Roman" w:hAnsi="Times New Roman"/>
          <w:sz w:val="24"/>
          <w:szCs w:val="24"/>
          <w:lang w:val="ru-RU"/>
        </w:rPr>
        <w:t xml:space="preserve"> В результате в ключевых сферах более 1000 предприятий, отнесенных к категории «маленьких гигантов», стали первой группой бенефициаров, получив денежные средства на поддержку их высококачественного развития.</w:t>
      </w:r>
      <w:bookmarkEnd w:id="32"/>
      <w:bookmarkEnd w:id="33"/>
      <w:r>
        <w:rPr>
          <w:rFonts w:ascii="Times New Roman" w:hAnsi="Times New Roman"/>
          <w:sz w:val="24"/>
          <w:szCs w:val="24"/>
          <w:lang w:val="ru-RU"/>
        </w:rPr>
        <w:t xml:space="preserve"> В целях направления и стимулирования цифровой трансформации малых и средних предприятий организовывалась работа по реализации второй очереди пилотных проектов в специально отобранных городах. В едином порядке были запланированы финансовые средства для поддержки увеличения площади сельхозугодий высокого стандарта посредством создания новых сельхозугодий, реконструкции и модернизации имеющихся пахотных земель. Размер субсидий на создание каждого гектара новых сельхозугодий высокого стандарта значительно увеличился и превысил 30 тыс. юаней. Наращивалась динамика премирования крупных зернопроизводящих уездов. Расширялась сфера осуществления политики страхования полной себестоимости и доходов от выращивания зерновых культур, охватив производство риса, пшеницы и кукурузы в масштабе всей страны, планомерно расширялся охват в отношении соевых бобов. В результате в качестве гарантий защиты от рисков крестьянским дворам были выданы 147 млн полисов сельскохозяйственного страхования, а общая сумма страхового покрытия превысила 5 трлн юаней. Мы продолжали увеличивать размер дотационных средств, выделенных из центрального бюджета, на обеспечение эффективного взаимодействия работы по закреплению результатов интенсивной ликвидации бедности со стимулированием подъема села, совершенствовали механизм увязки интересов при реализации проектов по оказанию помощи нуждающимся. Особые усилия были приложены к содействию увеличению доходов избавившихся от бедности крестьянских дворов за счет развития производств и создания для сельских жителей рабочих мест. Из центрального бюджета были выделены поощрительные средства в размере 40 млрд юаней в целях поддержки продвижения урбанизации нового типа и побуждения местных правительств к ускорению процесса перевода мигрирующего сельского населения в состав городского. Была оказана поддержка в осуществлении мероприятий по городской реновации в 15 городах, отобранных на конкурсной основе. Еще 12 городов были включены в программу улучшения и укрепления логистической цепи в государственных узлах комбинированных грузоперевозок, в демонстрационных зонах 8 провинций была запущена программа цифровой трансформации инфраструктуры автомобильного и водного транспорта. В рамках претворения в жизнь важнейших государственных стратегий регионального развития был принят комплекс бюджетно-налоговых мер по стимулированию всестороннего возрождения северо-восточного региона страны в новую эпоху, разработаны налоговые меры, направленные на поддержку развития Хэнциня, </w:t>
      </w:r>
      <w:bookmarkStart w:id="34" w:name="OLE_LINK38"/>
      <w:bookmarkStart w:id="35" w:name="OLE_LINK37"/>
      <w:r>
        <w:rPr>
          <w:rFonts w:ascii="Times New Roman" w:hAnsi="Times New Roman"/>
          <w:sz w:val="24"/>
          <w:szCs w:val="24"/>
          <w:lang w:val="ru-RU"/>
        </w:rPr>
        <w:t>Цяньхая</w:t>
      </w:r>
      <w:bookmarkEnd w:id="34"/>
      <w:bookmarkEnd w:id="35"/>
      <w:r>
        <w:rPr>
          <w:rFonts w:ascii="Times New Roman" w:hAnsi="Times New Roman"/>
          <w:sz w:val="24"/>
          <w:szCs w:val="24"/>
          <w:lang w:val="ru-RU"/>
        </w:rPr>
        <w:t>, Наньша, Хэтао и других площадок освоения и расширения открытости в регионе «Большой залив» Гуандун–Сянган–Аомэнь. Также был расширен перечень товаров с нулевыми ставками таможенных пошлин в Хайнаньском порту свободной торговли.</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Усиленно обеспечивался базовый уровень народного благосостояния.</w:t>
      </w:r>
      <w:r>
        <w:rPr>
          <w:rFonts w:ascii="Times New Roman" w:hAnsi="Times New Roman"/>
          <w:sz w:val="24"/>
          <w:szCs w:val="24"/>
          <w:lang w:val="ru-RU"/>
        </w:rPr>
        <w:t xml:space="preserve"> Совершенствовались системы и механизмы предоставления «трех гарантий» на низовом уровне – гарантирование базового уровня народного благосостояния, выдачи заработной платы и функционирования низовых структур. Объем трансфертных платежей из центрального бюджета в местные превысил 10 трлн юаней. Была закреплена ответственность местных правительств разных уровней, оказано им содействие в направлении финансовых средств в </w:t>
      </w:r>
      <w:bookmarkStart w:id="36" w:name="OLE_LINK35"/>
      <w:bookmarkStart w:id="37" w:name="OLE_LINK36"/>
      <w:r>
        <w:rPr>
          <w:rFonts w:ascii="Times New Roman" w:hAnsi="Times New Roman"/>
          <w:sz w:val="24"/>
          <w:szCs w:val="24"/>
          <w:lang w:val="ru-RU"/>
        </w:rPr>
        <w:t>бюджеты</w:t>
      </w:r>
      <w:bookmarkEnd w:id="36"/>
      <w:bookmarkEnd w:id="37"/>
      <w:r>
        <w:rPr>
          <w:rFonts w:ascii="Times New Roman" w:hAnsi="Times New Roman"/>
          <w:sz w:val="24"/>
          <w:szCs w:val="24"/>
          <w:lang w:val="ru-RU"/>
        </w:rPr>
        <w:t xml:space="preserve"> нижестоящих инстанций, усиливалась работа по мониторингу и предупреждению рисков в области функционирования финансовой системы с целью надежного обеспечения предоставления «трех гарантий» в низах. В контексте осуществления стратегии приоритетного обеспечения занятости мы продолжали реализовывать промежуточные политические установки, такие как снижение ставок страховых взносов на страхование по безработице и на страхование от производственного травматизма и т.д., упорядочили и оптимизировали дотации на создание новых рабочих мест и дотации на привлечение рабочей силы. Из центрального бюджета были выделены субсидии на трудоустройство в размере 66,7 млрд юаней, которые были направлены на поддержку трудоустройства и профессионально-квалификационного обучения выпускников вузов и других особо выделенных категорий населения. В результате численность трудоустроенного населения в городах и поселках за 2024 год увеличилась на 12 млн человек. Продолжался рост бюджетных ассигнований на нужды образования, была оказана поддержка ускоренному развитию базового образования, профессионального образования, высшего образования и т.д. Базовые размеры ежегодных выплат государственных пособий в расчете </w:t>
      </w:r>
      <w:bookmarkStart w:id="38" w:name="OLE_LINK6"/>
      <w:bookmarkStart w:id="39" w:name="OLE_LINK5"/>
      <w:bookmarkStart w:id="40" w:name="OLE_LINK22"/>
      <w:bookmarkStart w:id="41" w:name="OLE_LINK21"/>
      <w:r>
        <w:rPr>
          <w:rFonts w:ascii="Times New Roman" w:hAnsi="Times New Roman"/>
          <w:sz w:val="24"/>
          <w:szCs w:val="24"/>
          <w:lang w:val="ru-RU"/>
        </w:rPr>
        <w:t xml:space="preserve">на </w:t>
      </w:r>
      <w:bookmarkEnd w:id="38"/>
      <w:bookmarkEnd w:id="39"/>
      <w:bookmarkEnd w:id="40"/>
      <w:bookmarkEnd w:id="41"/>
      <w:r>
        <w:rPr>
          <w:rFonts w:ascii="Times New Roman" w:hAnsi="Times New Roman"/>
          <w:sz w:val="24"/>
          <w:szCs w:val="24"/>
          <w:lang w:val="ru-RU"/>
        </w:rPr>
        <w:t>каждого учащегося школы-интерната начальной и средней ступени из малообеспеченных семей в среднем повысились с 1000 юаней до 1250 юаней и с 1250 юаней до 1500 юаней соответственно. Мы увеличили бюджетные дотации на ремонт и реконструкцию сельских школ, усиливали управление и контроль над дотационными средствами, выделенными на обеспечение здорового питания для учащихся сельских школ. На основе результатов исследований были разработаны сопутствующие меры по продвижению реформ, направленных на постепенное повышение установленного законом пенсионного возраста. Размеры базовых пенсий по старости для пенсионеров в целом увеличились на 3%, наряду с этим общенациональный минимальный размер выплаты базовой части пенсий по старости для сельских и неработающих городских жителей повышался на 20 юаней в месяц на одного человека. Для выполнения этой работы из центрального бюджета были выделены трансфертные платежи в размере 1,1 трлн юаней. Продвигалась работа по совершенствованию долгосрочного механизма обеспечения участия граждан в базовом медицинском страховании, при этом среднедушевые годовые нормы госбюджетных субсидий на медицинское страхование для сельского и неработающего городского населения увеличились до 670 юаней. В рамках углубления реформы государственных медицинских учреждений с ориентацией на укрепление их общественно-полезного характера 20 городов были включены в демонстрационные проекты реформирования и высококачественного развития государственных медицинских учреждений. В 15 городах была запущена вторая очередь демонстрационных проектов развития общедоступных услуг по уходу за детьми ясельного возраста и их воспитанию, было оказано содействие местным правительствам в увеличении предложения таких услуг. В едином порядке были регламентированы механизмы установления и регулирования норм прожиточного минимума, были надежно обеспечены минимальные социальные гарантии для малообеспеченных категорий населения. Мы продолжали повышать размеры субсидий и пособий для льготных категорий населения, в результате чего 8,23 млн человек получили соответствующую помощь. Была оказана поддержка развитию культуры, физкультуры и спорта, прилагались интенсивные усилия к защите памятников культуры и культурного наследия, оказана поддержка национальной сборной Китая в достижении выдающихся успехов на Олимпийских играх в Париже. В целях дальнейшего улучшения экологической обстановки углубленно проводилась работа по ликвидации загрязнения атмосферы, воды и почв, продвигалось создание 7 новых механизмов горизонтальной компенсации природоохранных затрат между провинциальными бассейнами рек. Была оказана поддержка в реализации интегрированных мероприятий по охране и восстановлению экологии горных районов, речной и озерной среды, лесной территории, пахотных земель, степных и песчаных зон, а также других крупных проектов по защите экологии. Были опубликованы соображения об оказании финансовой поддержки в реализации программы по созданию защитных лесонасаждений в северо-восточном, северном и северо-западном регионах страны, при этом выделены специальные дотационные средства. В целях реагирования на наводнения, тайфуны и другие стихийные бедствия был своевременно введен механизм оперативного утверждения и выделения денежных средств на ликвидацию последствий стихийных бедствий. Была оказана поддержка пострадавшим районам в реагировании на чрезвычайные ситуации и проведении аварийно-спасательных работ, а также в оказании помощи местным жителям.</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Принимались эффективные меры для предотвращения и устранения рисков в ключевых сферах.</w:t>
      </w:r>
      <w:r>
        <w:rPr>
          <w:rFonts w:ascii="Times New Roman" w:hAnsi="Times New Roman"/>
          <w:sz w:val="24"/>
          <w:szCs w:val="24"/>
          <w:lang w:val="ru-RU"/>
        </w:rPr>
        <w:t xml:space="preserve"> В едином порядке планировалось использование ресурсов из разных источников для погашения долговых обязательств, продвигалась реализация пакета соответствующих мер. В частности, в соответствии с решениями и планами ЦК КПК было четко установлено, что погашение скрытых долгов, связанных с реконструкцией барачных кварталов, будет производиться в соответствии с условиями уже заключенных договоров, согласно которым срок погашения приходится на 2029 и последующие годы. Были использованы накопленные остатки лимита местных долгов в размере 400 млрд юаней для расширения совокупных финансовых возможностей местных правительств, а также обеспечено ежегодное увеличение выпуска целевых облигаций на сумму 800 млрд юаней в течение 5 лет подряд для пополнения местных правительственных фондов. В дополнение к этим мерам поддержки центральный финансовый орган, получив утверждение ПК ВСПН, продолжал наращивать интенсивность поддержки в погашении местных долгов. Конкретно говоря, был увеличен лимит долговых обязательств местных правительств на 6 трлн юаней с целью конверсии накопившихся скрытых долгов. Данная сумма была утверждена на единовременной основе, равно как и ее квотирование, а работа по использованию долговых квот выполняется по годам. При этом квоты были незамедлительно распределены по всем районам на следующий день после выполнения установленных законом процедур. Благодаря согласованному применению различных государственных мер общая сумма скрытых долгов местных правительств, подлежащих погашению к концу 2028 года, значительно уменьшилась – с 14,3 до 2,3 трлн юаней. В результате суммарная экономия процентных расходов может достичь примерно 600 млрд юаней. Посредством проведения пресс-конференций, специальных совещаний и других способов мы активизировали информационную работу по вопросам реализации принятых мер, усиливали руководство работой по конверсии скрытых долгов, способствовали ускоренной реализации соответствующих мер. Была полностью использована годовая квота 2024 года в размере 2 трлн юаней на выпуск облигаций, при этом работа по конверсии скрытых долгов, финансируемая за счет этих средств, в основном уже была завершена. Утвердился стандарт выхода компаний из списка местных финансовых платформ, на основе дифференцированного подхода продвигалось их последующее реформирование и трансформация, благодаря чему продолжало сокращаться общее количество таких платформ. Были приняты скоординированные меры по предотвращению и устранению серьезных финансовых рисков. В частности, ужесточалась проверка проектов по предупреждению и ликвидации рисков, связанных с местными малыми и средними финансовыми учреждениями, было оказано содействие в устранении проблем у части финансовых учреждений с высоким уровнем риска. Были разработаны условия, стандарты и процедуры, предусматривающие использование общественных ресурсов для содействия нейтрализации рисков в местных финансовых учреждениях. Комплексное использование целевых облигаций местных правительств, целевых средств, налоговых льгот и других инструментов способствовало переходу рынка недвижимости от падения к стабилизации.</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 xml:space="preserve">Интенсивнее продвигалась реформа бюджетно-налоговой системы. </w:t>
      </w:r>
      <w:r>
        <w:rPr>
          <w:rFonts w:ascii="Times New Roman" w:hAnsi="Times New Roman"/>
          <w:sz w:val="24"/>
          <w:szCs w:val="24"/>
          <w:lang w:val="ru-RU"/>
        </w:rPr>
        <w:t>Со всей серьезностью претворяя в жизнь дух 3-го пленума ЦК КПК 20-го созыва, мы разработали проекты реализации мер по углублению реформы бюджетно-налоговой системы, планомерно продвигали процесс реформирования бюджетной, налоговой и финансовой систем. На основе тщательных исследований была выполнена работа по разработке документов о проведении реформ, направленных на совершенствование современной бюджетной системы и улучшение системы финансовых трансфертных платежей, обнародованы временные правила по управлению бюджетным регулированием. Проводились первые пилотные реформы по внедрению бюджетирования с нулевой базой в 16 центральных ведомствах, включая министерство финансов. Усиление работы по приоритизации, оценке и оптимизации расходных статей способствовало изменению фиксированной структуры расходов и повышению эффективности распределения финансовых ресурсов. В рамках реализации механизма поощрения и ограничения в сфере трансфертных платежей, нацеленного на содействие высококачественному развитию, были выделены 40 млрд юаней. При распределении этих средств особое внимание было уделено провинциям с высоким уровнем доходов или сравнительно быстрыми темпами их роста. Были повсеместно введены пилотные проекты по замещению тарифов на водопользование налогом на использование водных ресурсов, оптимизированы меры по взиманию НДФЛ на доходы от премиальных акций. Был официально обнародован Закон о налоге на добавленную стоимость, вступил в силу Закон о таможенных пошлинах. В сферу деятельности центрального банка на открытом рынке были включены операции по купле и продаже гособлигаций, благодаря чему обогатился инструментарий монетарной политики. Была организована работа по анализу практических результатов проведения реформ, осуществлена практика по оценке полного цикла функционирования важнейших бюджетно-налоговых установок. С помощью этого обеспечилось своевременное выявление и разрешение проблем, возникших в процессе реформирования и реализации политики.</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 xml:space="preserve">Усиливалось финансовое управление и контроль. </w:t>
      </w:r>
      <w:r>
        <w:rPr>
          <w:rFonts w:ascii="Times New Roman" w:hAnsi="Times New Roman"/>
          <w:sz w:val="24"/>
          <w:szCs w:val="24"/>
          <w:lang w:val="ru-RU"/>
        </w:rPr>
        <w:t xml:space="preserve">Следуя требованиям строгого соблюдения режима экономии, мы ужесточали бюджетные ограничения, усовершенствовали механизм оценки реализации данного режима в центральных ведомствах, усиливали проверку и контроль за его соблюдением в местных органах. Регулярно проводилась работа по предварительному аудиту формирования бюджета и оценке результативности бюджетных расходов с целью повышения степени научной обоснованности бюджетного планирования и эффективности использования бюджетных средств. Посредством совершенствования интегрированной системы бюджетного управления усиливались контроль за исполнением бюджетов и мониторинг функционирования финансовой системы, обеспечивалось своевременное предупреждение и надлежащее реагирование на первые признаки проблем, а также на проблемы, имеющие тенденцию к дальнейшему развитию. Был опубликован и претворен в жизнь трехлетний план действий в сфере правительственных закупок, осуществлена проверка свыше 6000 агентских учреждений и более 30 тыс. проектов правительственных закупок, что позволило оптимизировать деловую среду в этой области. Были опубликованы нормы общего финансово-бухгалтерского учета, организовывалось внедрение практики по составлению финансовой отчетности правительства во всех районах и ведомствах. Мы активно развертывали целевые мероприятия по осуществлению финансово-бухгалтерского контроля, провели расследование и вынесли решение по ряду острых проблем, способствовали должному исправлению нарушений и привлечению связанных с проблемами работников к ответственности, а также созданию и совершенствованию постоянно действующего механизма в этой сфере. Продолжались целевые мероприятия по пресечению нарушений законов и нормативных актов, касающихся сфер сертифицированных бухгалтеров и бухгалтерского аутсорсинга, был усилен контроль над качеством деятельности бухгалтерских компаний и учреждений в сфере оценки активов, а также над качеством бухгалтерской информации предприятий, были применены строгие меры наказания за фальсификацию финансовой отчетности. Мы завершили работу по внесению изменений в Закон о бухгалтерском учете, ввели систему управления списком наиболее неблагонадежных субъектов в сфере сертифицированных бухгалтеров, систему управления безопасностью данных бухгалтерских компаний и другие. В контексте внедрения системы отчетов об управлении правительственными долговыми обязательствами мы представили ПК ВСНП отчет о ситуации с управлением долговыми обязательствами в 2023 году. Были опубликованы методы управления государственными активами в центральных административных органах и бюджетных учреждениях, завершена работа по составлению годового отчета о состоянии государственных активов. В целях улучшения системы управления цифровыми активами мы организовали реализацию пилотных проектов по управлению всем процессом использования цифровых активов в некоторых центральных ведомствах, местных финансовых органах и на предприятиях центрального подчинения. </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В общем и целом, в 2024 году центральный и местные бюджеты были исполнены довольно успешно. Мы эффективно и действенно осуществляли активную финансовую политику, достигнув нового прогресса во всех направлениях финансовой работы. Это играло важную роль в стимулировании восстановления и улучшения экономики, а также высококачественного развития. Этим успехом мы обязаны в конечном счете нахождению генерального секретаря Си Цзиньпина во главе государства и научно обоснованному ориентиру, которым являются идеи Си Цзиньпина о социализме с китайской спецификой новой эпохи. Это результат твердого руководства со стороны ЦК КПК, ядром которого является товарищ Си Цзиньпин, результат усиленной проверки и контроля со стороны ВСНП и укрепления демократического контроля со стороны ВК НПКСК, а также результат совместных усилий всех районов, всех ведомств и многонационального народа страны.</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В то же время в исполнении бюджетов и выполнении финансовой работы все еще существуют некоторые трудности и недостатки. Они в основном сводятся к следующему: под воздействием множества факторов сокращаются налоговые поступления, отмечается продолжительный спад доходов от передачи прав на пользование земельными участками, в некоторых районах остро стоят противоречия между финансовыми доходами и расходами. Предварительная работа над некоторыми правительственными инвестиционными проектами осуществляется недостаточно основательно, требуется дальнейшая оптимизация направлений и структуры инвестиций, оказалась недостаточной роль правительственных инвестиций в стимулировании частного капитала. Требуется повышение степени научной обоснованности в финансовом управлении. Существуют слабые звенья во внедрении результативного бюджетирования, система критериев расходов по конкретным статьям недостаточно совершенна. Наблюдается недостаточная детализация и регламентация в работе некоторых бюджетных учреждений, связанной с использованием денежных средств, ведением финансового и бухгалтерского учета, а также управлением активами. Нуждаются в дальнейшем повышении динамика единого планирования бюджетных средств, активов и ресурсов, а также эффективность их использования. Требуются создание и совершенствование долгосрочного механизма контроля и управления долговыми обязательствами местных правительств. По-прежнему остается весьма сложной задача по предотвращению возникновения новых скрытых долговых обязательств, практики ложного погашения задолженностей, использования не по назначению средств от целевых облигаций и т.д. Несмотря на неоднократные запреты, все еще наблюдаются нарушения финансово-экономической дисциплины. Интенсивность финансово-бухгалтерского контроля нуждается в последовательном наращивании. Мы уделяем повышенное внимание вышеперечисленным проблемам и будем принимать активные меры для их разрешения.</w:t>
      </w:r>
    </w:p>
    <w:p>
      <w:pPr>
        <w:adjustRightInd w:val="0"/>
        <w:snapToGrid w:val="0"/>
        <w:spacing w:line="300" w:lineRule="auto"/>
        <w:jc w:val="center"/>
        <w:rPr>
          <w:rFonts w:ascii="Times New Roman" w:hAnsi="Times New Roman"/>
          <w:b/>
          <w:sz w:val="24"/>
          <w:szCs w:val="24"/>
          <w:lang w:val="ru-RU"/>
        </w:rPr>
      </w:pPr>
    </w:p>
    <w:p>
      <w:pPr>
        <w:adjustRightInd w:val="0"/>
        <w:snapToGrid w:val="0"/>
        <w:spacing w:line="300" w:lineRule="auto"/>
        <w:jc w:val="center"/>
        <w:rPr>
          <w:rFonts w:ascii="Times New Roman" w:hAnsi="Times New Roman"/>
          <w:b/>
          <w:sz w:val="24"/>
          <w:szCs w:val="24"/>
          <w:lang w:val="ru-RU"/>
        </w:rPr>
      </w:pPr>
    </w:p>
    <w:p>
      <w:pPr>
        <w:adjustRightInd w:val="0"/>
        <w:snapToGrid w:val="0"/>
        <w:spacing w:line="300" w:lineRule="auto"/>
        <w:jc w:val="center"/>
        <w:rPr>
          <w:rFonts w:ascii="Times New Roman" w:hAnsi="Times New Roman"/>
          <w:b/>
          <w:sz w:val="24"/>
          <w:szCs w:val="24"/>
          <w:lang w:val="ru-RU"/>
        </w:rPr>
      </w:pPr>
      <w:r>
        <w:rPr>
          <w:rFonts w:ascii="Times New Roman" w:hAnsi="Times New Roman"/>
          <w:b/>
          <w:sz w:val="24"/>
          <w:szCs w:val="24"/>
          <w:lang w:val="ru-RU"/>
        </w:rPr>
        <w:fldChar w:fldCharType="begin"/>
      </w:r>
      <w:r>
        <w:rPr>
          <w:rFonts w:ascii="Times New Roman" w:hAnsi="Times New Roman"/>
          <w:b/>
          <w:sz w:val="24"/>
          <w:szCs w:val="24"/>
          <w:lang w:val="ru-RU"/>
        </w:rPr>
        <w:instrText xml:space="preserve"> = 2 \* ROMAN </w:instrText>
      </w:r>
      <w:r>
        <w:rPr>
          <w:rFonts w:ascii="Times New Roman" w:hAnsi="Times New Roman"/>
          <w:b/>
          <w:sz w:val="24"/>
          <w:szCs w:val="24"/>
          <w:lang w:val="ru-RU"/>
        </w:rPr>
        <w:fldChar w:fldCharType="separate"/>
      </w:r>
      <w:r>
        <w:rPr>
          <w:rFonts w:ascii="Times New Roman" w:hAnsi="Times New Roman"/>
          <w:b/>
          <w:sz w:val="24"/>
          <w:szCs w:val="24"/>
          <w:lang w:val="ru-RU"/>
        </w:rPr>
        <w:t>II</w:t>
      </w:r>
      <w:r>
        <w:rPr>
          <w:rFonts w:ascii="Times New Roman" w:hAnsi="Times New Roman"/>
          <w:b/>
          <w:sz w:val="24"/>
          <w:szCs w:val="24"/>
          <w:lang w:val="ru-RU"/>
        </w:rPr>
        <w:fldChar w:fldCharType="end"/>
      </w:r>
      <w:r>
        <w:rPr>
          <w:rFonts w:ascii="Times New Roman" w:hAnsi="Times New Roman"/>
          <w:b/>
          <w:sz w:val="24"/>
          <w:szCs w:val="24"/>
          <w:lang w:val="ru-RU"/>
        </w:rPr>
        <w:t>. О ПРОЕКТЕ ЦЕНТРАЛЬНОГО И</w:t>
      </w:r>
    </w:p>
    <w:p>
      <w:pPr>
        <w:adjustRightInd w:val="0"/>
        <w:snapToGrid w:val="0"/>
        <w:spacing w:line="300" w:lineRule="auto"/>
        <w:jc w:val="center"/>
        <w:rPr>
          <w:rFonts w:ascii="Times New Roman" w:hAnsi="Times New Roman"/>
          <w:b/>
          <w:sz w:val="24"/>
          <w:szCs w:val="24"/>
          <w:lang w:val="ru-RU"/>
        </w:rPr>
      </w:pPr>
      <w:r>
        <w:rPr>
          <w:rFonts w:ascii="Times New Roman" w:hAnsi="Times New Roman"/>
          <w:b/>
          <w:sz w:val="24"/>
          <w:szCs w:val="24"/>
          <w:lang w:val="ru-RU"/>
        </w:rPr>
        <w:t>МЕСТНЫХ БЮДЖЕТОВ НА 2025 ГОД</w:t>
      </w:r>
    </w:p>
    <w:p>
      <w:pPr>
        <w:adjustRightInd w:val="0"/>
        <w:snapToGrid w:val="0"/>
        <w:spacing w:line="300" w:lineRule="auto"/>
        <w:jc w:val="center"/>
        <w:rPr>
          <w:rFonts w:ascii="Times New Roman" w:hAnsi="Times New Roman"/>
          <w:b/>
          <w:sz w:val="24"/>
          <w:szCs w:val="24"/>
          <w:lang w:val="ru-RU"/>
        </w:rPr>
      </w:pPr>
    </w:p>
    <w:p>
      <w:pPr>
        <w:adjustRightInd w:val="0"/>
        <w:snapToGrid w:val="0"/>
        <w:spacing w:line="300" w:lineRule="auto"/>
        <w:ind w:firstLine="420"/>
        <w:rPr>
          <w:rFonts w:ascii="Times New Roman" w:hAnsi="Times New Roman"/>
          <w:kern w:val="0"/>
          <w:sz w:val="24"/>
          <w:szCs w:val="24"/>
          <w:lang w:val="ru-RU"/>
        </w:rPr>
      </w:pPr>
      <w:r>
        <w:rPr>
          <w:rFonts w:ascii="Times New Roman" w:hAnsi="Times New Roman"/>
          <w:sz w:val="24"/>
          <w:szCs w:val="24"/>
          <w:lang w:val="ru-RU"/>
        </w:rPr>
        <w:t xml:space="preserve">В 2025 году завершается реализация 14-й пятилетней программы, поэтому составление эффективных бюджетов и качественное выполнение финансовой работы имеют особое значение. Мы должны, руководствуясь решениями и планами ЦК КПК и Госсовета КНР, придерживаться курса на поступательное движение вперед при сохранении стабильности, на содействие стабильности за счет продвижения вперед, отстаивать основополагающие принципы и внедрять инновации, неуклонно следовать концепции «сначала вводить новое, а затем ломать старое», а также принципам системности, интегрированности, согласованности и взаимодействия. Мы должны в едином порядке координировать отношения между эффективным рынком и деятельным правительством, общим предложением и общим спросом, развитием новых движущих сил и обновлением старых драйверов, оптимизацией прироста и активизацией имеющегося, повышением качества и увеличением количества, а также другие важные отношения. Будем проводить более действенную и эффективную макроэкономическую политику, прилагать усилия к повышению согласованности бюджетной, монетарной, промышленной, региональной, торговой политики, политики в области занятости, </w:t>
      </w:r>
      <w:r>
        <w:rPr>
          <w:rFonts w:ascii="Times New Roman" w:hAnsi="Times New Roman"/>
          <w:kern w:val="0"/>
          <w:sz w:val="24"/>
          <w:szCs w:val="24"/>
          <w:lang w:val="ru-RU"/>
        </w:rPr>
        <w:t>охраны окружающей среды, контроля и т.д., а также к укреплению их координации и взаимодействия с государственными мерами по реформам и открытости, чтобы разрешить трудные проблемы и закрепить преимущества в области развития, содействуя тем самым постоянному росту китайской экономики в русле высококачественного развития.</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1. Анализ ситуации с финансовыми доходами и расходами на 2025 год</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В настоящее время и в определенный период в будущем останутся неизменными условия поддержки функционирования китайской экономики, характеризующейся прочной основой, наличием множества преимуществ, высокой стрессоустойчивостью и внушительным потенциалом, равно как и ее долгосрочный восходящий тренд. Однако в то же время усугубляется негативное воздействие, обусловленное изменениями во внешней среде, функционирование китайской экономики неизбежно сталкивается с немалыми трудностями и вызовами, усиливается давление, связанное с обеспечением баланса бюджетных доходов и расходов в 2025 году. </w:t>
      </w:r>
      <w:r>
        <w:rPr>
          <w:rFonts w:ascii="Times New Roman" w:hAnsi="Times New Roman"/>
          <w:b/>
          <w:sz w:val="24"/>
          <w:szCs w:val="24"/>
          <w:lang w:val="ru-RU"/>
        </w:rPr>
        <w:t>С точки зрения финансовых доходов,</w:t>
      </w:r>
      <w:r>
        <w:rPr>
          <w:rFonts w:ascii="Times New Roman" w:hAnsi="Times New Roman"/>
          <w:sz w:val="24"/>
          <w:szCs w:val="24"/>
          <w:lang w:val="ru-RU"/>
        </w:rPr>
        <w:t xml:space="preserve"> хотя продолжительная тенденция к восстановлению и улучшению экономики способствует увеличению финансовых доходов, все так же существует множество факторов, ограничивающих их рост. В частности, отмечается нехватка внутреннего спроса, а уровень цен продолжает оказывать негативное влияние на финансовые доходы, рассчитанные по действующим ценам. Замедляются темпы роста части отраслей, являющихся основными источниками налоговых доходов, наблюдаются трудности в ведении производственно-хозяйственной деятельности у части предприятий, заметно повышается степень неопределенности в сфере внешней торговли, что негативно повлияет на рост финансовых доходов. Сокращается пространство для повышения эффективности использования имеющихся активов и ресурсов. </w:t>
      </w:r>
      <w:r>
        <w:rPr>
          <w:rFonts w:ascii="Times New Roman" w:hAnsi="Times New Roman"/>
          <w:b/>
          <w:sz w:val="24"/>
          <w:szCs w:val="24"/>
          <w:lang w:val="ru-RU"/>
        </w:rPr>
        <w:t>С точки зрения финансовых расходов,</w:t>
      </w:r>
      <w:r>
        <w:rPr>
          <w:rFonts w:ascii="Times New Roman" w:hAnsi="Times New Roman"/>
          <w:sz w:val="24"/>
          <w:szCs w:val="24"/>
          <w:lang w:val="ru-RU"/>
        </w:rPr>
        <w:t xml:space="preserve"> в рамках применения финансовой политики по осуществлению антициклического регулирования потребуется усиление финансового обеспечения для расширения инвестиций, гарантирования народного благосостояния, стабилизации занятости, стимулирования потребления и т.д. Необходимо обеспечить обязательное увеличение финансовых расходов на такие ключевые направления, как формирование производительных сил нового качества, содействие всестороннему подъему села, интенсификация защиты экологии и охраны окружающей среды. Продолжат увеличиваться расходы на создание продовольственных резервов, погашение правительственных долговых обязательств и выплату процентов по ним. Все это будет ограничивать возможность эффективного перераспределения бюджетных средств. </w:t>
      </w:r>
      <w:r>
        <w:rPr>
          <w:rFonts w:ascii="Times New Roman" w:hAnsi="Times New Roman"/>
          <w:b/>
          <w:sz w:val="24"/>
          <w:szCs w:val="24"/>
          <w:lang w:val="ru-RU"/>
        </w:rPr>
        <w:t>По итогам комплексного анализа</w:t>
      </w:r>
      <w:r>
        <w:rPr>
          <w:rFonts w:ascii="Times New Roman" w:hAnsi="Times New Roman"/>
          <w:sz w:val="24"/>
          <w:szCs w:val="24"/>
          <w:lang w:val="ru-RU"/>
        </w:rPr>
        <w:t xml:space="preserve"> можно констатировать, что влияние, обусловленное изменениями во внутренней и внешней среде, последовательно будет затрагивать финансовый сектор, в 2025 году по-прежнему будут наблюдаться острые противоречия между бюджетными доходами и расходами. Поэтому мы должны более полно оценивать возможные трудности и вызовы, выработать обдуманные и эффективные меры, чтобы создавать надежные гарантии для стимулирования устойчивого и динамичного развития китайской экономики. </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2. Общие требования к составлению бюджетов и выполнению финансовой работы на 2025 год</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Для того чтобы</w:t>
      </w:r>
      <w:r>
        <w:rPr>
          <w:rFonts w:ascii="Times New Roman" w:hAnsi="Times New Roman"/>
          <w:kern w:val="0"/>
          <w:sz w:val="24"/>
          <w:szCs w:val="24"/>
          <w:lang w:val="ru-RU"/>
        </w:rPr>
        <w:t xml:space="preserve"> должным образом составить бюджеты и качественно выполнить финансовую работу в 2025 году, мы должны действовать под твердым руководством ЦК КПК, ядром которого является товарищ Си Цзиньпин, руководствоваться идеями Си Цзиньпина о социализме с китайской спецификой новой эпохи, целиком и полностью следовать духу </w:t>
      </w:r>
      <w:r>
        <w:rPr>
          <w:rFonts w:ascii="Times New Roman" w:hAnsi="Times New Roman"/>
          <w:sz w:val="24"/>
          <w:szCs w:val="24"/>
          <w:lang w:val="ru-RU"/>
        </w:rPr>
        <w:fldChar w:fldCharType="begin"/>
      </w:r>
      <w:r>
        <w:rPr>
          <w:rFonts w:ascii="Times New Roman" w:hAnsi="Times New Roman"/>
          <w:sz w:val="24"/>
          <w:szCs w:val="24"/>
          <w:lang w:val="ru-RU"/>
        </w:rPr>
        <w:instrText xml:space="preserve"> = 20 \* ROMAN </w:instrText>
      </w:r>
      <w:r>
        <w:rPr>
          <w:rFonts w:ascii="Times New Roman" w:hAnsi="Times New Roman"/>
          <w:sz w:val="24"/>
          <w:szCs w:val="24"/>
          <w:lang w:val="ru-RU"/>
        </w:rPr>
        <w:fldChar w:fldCharType="separate"/>
      </w:r>
      <w:r>
        <w:rPr>
          <w:rFonts w:ascii="Times New Roman" w:hAnsi="Times New Roman"/>
          <w:sz w:val="24"/>
          <w:szCs w:val="24"/>
          <w:lang w:val="ru-RU"/>
        </w:rPr>
        <w:t>XX</w:t>
      </w:r>
      <w:r>
        <w:rPr>
          <w:rFonts w:ascii="Times New Roman" w:hAnsi="Times New Roman"/>
          <w:sz w:val="24"/>
          <w:szCs w:val="24"/>
          <w:lang w:val="ru-RU"/>
        </w:rPr>
        <w:fldChar w:fldCharType="end"/>
      </w:r>
      <w:r>
        <w:rPr>
          <w:rFonts w:ascii="Times New Roman" w:hAnsi="Times New Roman"/>
          <w:sz w:val="24"/>
          <w:szCs w:val="24"/>
          <w:lang w:val="ru-RU"/>
        </w:rPr>
        <w:t xml:space="preserve"> съезда КПК, 2-го и 3-го пленумов ЦК КПК 20-го созыва. Необходимо в соответствии с планами, выдвинутыми на Центральном совещании по экономической работе, придерживаться основного алгоритма работы – поступательного движения вперед при поддержании стабильности, целиком, четко и всесторонне претворять в жизнь новую концепцию развития, ускорять формирование новой архитектоники развития, основательно продвигать высококачественное развитие, еще эффективнее координировать работу в сфере развития и безопасности. Мы будем </w:t>
      </w:r>
      <w:bookmarkStart w:id="42" w:name="OLE_LINK78"/>
      <w:bookmarkStart w:id="43" w:name="OLE_LINK79"/>
      <w:r>
        <w:rPr>
          <w:rFonts w:ascii="Times New Roman" w:hAnsi="Times New Roman"/>
          <w:sz w:val="24"/>
          <w:szCs w:val="24"/>
          <w:lang w:val="ru-RU"/>
        </w:rPr>
        <w:t>проводить более активную финансовую политику</w:t>
      </w:r>
      <w:bookmarkEnd w:id="42"/>
      <w:bookmarkEnd w:id="43"/>
      <w:r>
        <w:rPr>
          <w:rFonts w:ascii="Times New Roman" w:hAnsi="Times New Roman"/>
          <w:sz w:val="24"/>
          <w:szCs w:val="24"/>
          <w:lang w:val="ru-RU"/>
        </w:rPr>
        <w:t>, увеличивать интенсивность финансовых расходов и оптимизировать их структуру, наращивая поддержку работы в таких направлениях, как расширение внутреннего спроса, развитие производительных сил нового качества, стимулирование согласованного развития как городских и сельских районов, так и разных регионов, обеспечение и повышение народного благосостояния и т.д. Следует углублять реформу бюджетно-налоговой системы, продвигать научный подход в бюджетном управлении для предотвращения и устранения рисков. Ужесточать финансово-экономическую дисциплину, исполнять требования о неукоснительном соблюдении режима экономии в партийных и правительственных органах. Необходимо повышать эффективность использования финансовых средств и применения государственных мер с тем, чтобы содействовать дальнейшему восстановлению и улучшению китайской экономики, создавать надежные гарантии для качественного выполнения намеченных в 14-й пятилетней программе целей и задач, а также для успешного начала 15-й пятилетки.</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Финансовая политика в 2025 году должна демонстрировать еще большую активность, последовательно проявлять свою роль и стать более интенсивной. Необходимо в соответствии с изменениями ситуации своевременно корректировать политические меры и повышать эффективность их комплексного применения. </w:t>
      </w:r>
      <w:r>
        <w:rPr>
          <w:rFonts w:ascii="Times New Roman" w:hAnsi="Times New Roman"/>
          <w:b/>
          <w:sz w:val="24"/>
          <w:szCs w:val="24"/>
          <w:lang w:val="ru-RU"/>
        </w:rPr>
        <w:t>Следует обеспечивать последовательное наращивание эффективности финансовой политики.</w:t>
      </w:r>
      <w:r>
        <w:rPr>
          <w:rFonts w:ascii="Times New Roman" w:hAnsi="Times New Roman"/>
          <w:sz w:val="24"/>
          <w:szCs w:val="24"/>
          <w:lang w:val="ru-RU"/>
        </w:rPr>
        <w:t xml:space="preserve"> В этом контексте мы должны делать акцент на укреплении согласованности прошлогодних и текущих политических установок, обеспечивать как максимально эффективную реализацию уже действующих мер, так и своевременное внедрение новых действенных мер, укреплять их соответствие и взаимодействие, а также гарантировать их непрерывное функционирование. </w:t>
      </w:r>
      <w:r>
        <w:rPr>
          <w:rFonts w:ascii="Times New Roman" w:hAnsi="Times New Roman"/>
          <w:b/>
          <w:sz w:val="24"/>
          <w:szCs w:val="24"/>
          <w:lang w:val="ru-RU"/>
        </w:rPr>
        <w:t>Необходимо</w:t>
      </w:r>
      <w:r>
        <w:rPr>
          <w:rFonts w:ascii="Times New Roman" w:hAnsi="Times New Roman"/>
          <w:sz w:val="24"/>
          <w:szCs w:val="24"/>
          <w:lang w:val="ru-RU"/>
        </w:rPr>
        <w:t xml:space="preserve"> </w:t>
      </w:r>
      <w:r>
        <w:rPr>
          <w:rFonts w:ascii="Times New Roman" w:hAnsi="Times New Roman"/>
          <w:b/>
          <w:sz w:val="24"/>
          <w:szCs w:val="24"/>
          <w:lang w:val="ru-RU"/>
        </w:rPr>
        <w:t>принимать более интенсивные меры в области финансов.</w:t>
      </w:r>
      <w:r>
        <w:rPr>
          <w:rFonts w:ascii="Times New Roman" w:hAnsi="Times New Roman"/>
          <w:sz w:val="24"/>
          <w:szCs w:val="24"/>
          <w:lang w:val="ru-RU"/>
        </w:rPr>
        <w:t xml:space="preserve"> Важно в полной мере и эффективно использовать пространство, открытое для принятия новых мер, с небывалой интенсивностью усиливать антициклическое регулирование, повышать его дальновидность, целенаправленность и эффективность, стремиться к тому, чтобы принятые меры действовали более эффективно, приносили больше результатов и более ощутимо укрепляли чувство обретения народных масс в разных сферах деятельности. Интенсивность финансовой политики найдет конкретное воплощение в следующих пяти направлениях. </w:t>
      </w:r>
      <w:r>
        <w:rPr>
          <w:rFonts w:ascii="Times New Roman" w:hAnsi="Times New Roman"/>
          <w:b/>
          <w:sz w:val="24"/>
          <w:szCs w:val="24"/>
          <w:lang w:val="ru-RU"/>
        </w:rPr>
        <w:t xml:space="preserve">Во-первых, будет повышен удельный вес бюджетного дефицита в ВВП, увеличена интенсивность финансовых расходов и ускорен процесс их исполнения. </w:t>
      </w:r>
      <w:r>
        <w:rPr>
          <w:rFonts w:ascii="Times New Roman" w:hAnsi="Times New Roman"/>
          <w:sz w:val="24"/>
          <w:szCs w:val="24"/>
          <w:lang w:val="ru-RU"/>
        </w:rPr>
        <w:t>По результатам комплексной оценки ситуации с бюджетными доходами и необходимостью обеспечения бюджетных расходов в нынешнем году удельный вес бюджетного дефицита в ВВП планируется в размере примерно 4%, что на 1 процентный пункт выше показателя прошлого года. Общий объем дефицита составит 5660 млрд юаней, что на 1600 млрд юаней больше прошлогоднего показателя. В том числе дефицит центрального бюджета составит 4860 млрд юаней, дефицит местных бюджетов – 800 млрд юаней. По сравнению с 2024 годом заметно увеличатся расходы из обычного общественного бюджета по всей стране, которые достигнут 29700,5 млрд юаней. Наряду с увеличением размера расходов будет ускорен процесс выделения и перечисления средств в местные бюджеты, чтобы способствовать их скорейшему превращению в реальные расходы.</w:t>
      </w:r>
      <w:r>
        <w:rPr>
          <w:rFonts w:ascii="Times New Roman" w:hAnsi="Times New Roman"/>
          <w:b/>
          <w:sz w:val="24"/>
          <w:szCs w:val="24"/>
          <w:lang w:val="ru-RU"/>
        </w:rPr>
        <w:t xml:space="preserve"> Во-вторых, будет значительно увеличен размер правительственных облигаций, чтобы предоставить более надежную поддержку для стабилизации роста экономики и ее структурного регулирования.</w:t>
      </w:r>
      <w:r>
        <w:rPr>
          <w:rFonts w:ascii="Times New Roman" w:hAnsi="Times New Roman"/>
          <w:sz w:val="24"/>
          <w:szCs w:val="24"/>
          <w:lang w:val="ru-RU"/>
        </w:rPr>
        <w:t xml:space="preserve"> Запланирован лимит новых целевых долговых обязательств местных правительств в размере 4400 млрд юаней, что на 500 млрд юаней больше, чем в 2024 году. Намеченный показатель позволит нам оказывать поддержку местным правительствам в усилении работы по восполнению недостатков в ключевых сферах, продолжать отдавать приоритет реализации важнейших региональных стратегий, развитию производительных сил нового качества и содействию высококачественному развитию. Мы будем оптимизировать механизмы управления целевыми облигациями, совершенствовать работу по распределению квот на их выпуск, повышать уровень соответствия масштаба целевых облигаций финансовым возможностям местных правительств и возможностям обеспечения рентабельности проектов, на которые направлены средства от целевых облигаций. В соответствии с режимом негативного списка управлять сферами направления целевых облигаций, расширять сферы их использования в качестве уставного капитала проектов, проводить эксперименты, предусматривающие делегирование провинциальным правительствам полномочий по самостоятельному рассмотрению финансируемых за счет целевых облигаций проектов и по самостоятельному выпуску таких облигаций. Важно создать механизм рассмотрения проектов, обеспечивающий возможность регулярной подачи заявки и их рассмотрение по кварталам. Регламентировать и усиливать управление активами, созданными за счет средств от целевых облигаций, чтобы еще лучше использовать роль таких облигаций. В то же время планируется выпуск новых сверхдолгосрочных специальных государственных облигаций в размере 1300 млрд юаней, которые на 300 млрд юаней превысят прошлогодний показатель. В частности, 800 млрд юаней будут использованы для усиления поддержки реализации важнейших государственных стратегий и наращивания возможностей по обеспечению безопасности в ключевых сферах, а 500 млрд юаней – для активного расширения сферы охвата политикой поддержки крупномасштабной модернизации оборудования и торговли потребительскими товарами по схеме трейд-ин. Планируется выделить из центрального бюджета инвестиции в размере 735 млрд юаней с увеличением на 35 млрд юаней по сравнению с 2024 годом, что обеспечит сопряжение реализации инвестиционных планов и планирования бюджетных показателей. </w:t>
      </w:r>
      <w:r>
        <w:rPr>
          <w:rFonts w:ascii="Times New Roman" w:hAnsi="Times New Roman"/>
          <w:b/>
          <w:sz w:val="24"/>
          <w:szCs w:val="24"/>
          <w:lang w:val="ru-RU"/>
        </w:rPr>
        <w:t xml:space="preserve">В-третьих, всемерно усиливать работу по оптимизации структуры расходов, уделяя больше внимания их адресной направленности и отдавая приоритет улучшению жизни населения, стимулированию потребления и повышению потенциала развития. </w:t>
      </w:r>
      <w:r>
        <w:rPr>
          <w:rFonts w:ascii="Times New Roman" w:hAnsi="Times New Roman"/>
          <w:sz w:val="24"/>
          <w:szCs w:val="24"/>
          <w:lang w:val="ru-RU"/>
        </w:rPr>
        <w:t xml:space="preserve">В частности, сосредоточивая внимание на обеспечении и повышении благосостояния населения, мы будем наращивать поддержку работы по стабилизации занятости, прилагать усилия к устранению структурных противоречий в этой сфере и разрешению проблем, связанных с трудоустройством особо выделенных категорий населения. Делая акцент на расширении внутреннего спроса, мы будем усиливать поддержку работы по активизации потребления, содействовать увеличению доходов населения, укреплению системы социального обеспечения и улучшению условий потребления. Отдавая приоритет ускорению развития производительных сил нового качества, мы будем активизировать поддержку работы в области образования, подготовки специалистов, выполнения важнейших научно-технических задач, зеленого и низкоуглеродного развития и т.д., усиливать согласованность различных государственных мер. </w:t>
      </w:r>
      <w:r>
        <w:rPr>
          <w:rFonts w:ascii="Times New Roman" w:hAnsi="Times New Roman"/>
          <w:b/>
          <w:sz w:val="24"/>
          <w:szCs w:val="24"/>
          <w:lang w:val="ru-RU"/>
        </w:rPr>
        <w:t>В-четвертых, прилагать непрерывные усилия к предотвращению и устранению рисков в ключевых сферах, способствовать стабильному функционированию и устойчивому развитию финансовой системы.</w:t>
      </w:r>
      <w:r>
        <w:rPr>
          <w:rFonts w:ascii="Times New Roman" w:hAnsi="Times New Roman"/>
          <w:sz w:val="24"/>
          <w:szCs w:val="24"/>
          <w:lang w:val="ru-RU"/>
        </w:rPr>
        <w:t xml:space="preserve"> В соответствии с политическим решением по принятию пакета мер для устранения долговых рисков мы будем оказывать местным правительствам содействие в реализации мер по конверсии скрытых долгов. В этом контексте продолжать планировать выделение из средств, привлеченных от выпуска новых целевых облигаций местных правительств, определенной суммы для наращивания финансовых возможностей правительственных фондов и поддержки местных правительств в погашении долговых обязательств. Допускается использование средств от целевых облигаций для поддержки выкупа имеющихся неиспользованных земельных участков, а также для перевода нереализованного товарного жилья в социальное жилье посредством выкупа. Следует устанавливать разумную цену выкупа для предотвращения моральных рисков, способствовать переходу рынка недвижимости от падения к стабилизации. Планируется выпустить новые специальные гособлигации в размере 500 млрд юаней, которые будут направлены на пополнение основного капитала первого уровня в крупных государственных коммерческих банках, чтобы укреплять их возможности в поддержании собственного устойчивого функционирования, а также возможности в обслуживании реального сектора экономики.</w:t>
      </w:r>
      <w:r>
        <w:rPr>
          <w:rFonts w:ascii="Times New Roman" w:hAnsi="Times New Roman"/>
          <w:b/>
          <w:sz w:val="24"/>
          <w:szCs w:val="24"/>
          <w:lang w:val="ru-RU"/>
        </w:rPr>
        <w:t xml:space="preserve"> В-пятых, продолжать увеличивать трансфертные платежи местным бюджетам, чтобы наращивать финансовые возможности местных правительств и надежно обеспечивать предоставление «трех гарантий». </w:t>
      </w:r>
      <w:r>
        <w:rPr>
          <w:rFonts w:ascii="Times New Roman" w:hAnsi="Times New Roman"/>
          <w:sz w:val="24"/>
          <w:szCs w:val="24"/>
          <w:lang w:val="ru-RU"/>
        </w:rPr>
        <w:t xml:space="preserve">С учетом реальных условий местных бюджетов в текущем году запланирован объем трансфертных платежей из центрального бюджета в местные в размере 10341,5 млрд юаней, прирост которых за вычетом средств, полученных от дополнительного выпуска гособлигаций в 2023 году и переведенных в бюджет 2024 года, составит 8,4% по сопоставимым стандартам расчета. В частности, трансферты на сбалансирование финансовых возможностей составят 2734 млрд юаней, а премиальные и дотационные средства в рамках механизма обеспечения базовых финансовых возможностей на уровне уездов – 479,5 млрд юаней. Эти средства будут использованы для усиления финансового обеспечения местных бюджетов, в особенности для оказания местам поддержки в надлежащем выполнении работы по предоставлению «трех гарантий». Предполагается выделение 50 млрд юаней для стимулирования высококачественного развития с увеличением на 10 млрд юаней по сравнению с предыдущим годом, чтобы пробуждать активность и инициативность местных правительств в развитии экономики и увеличении финансовых доходов. </w:t>
      </w:r>
      <w:r>
        <w:rPr>
          <w:rFonts w:ascii="Times New Roman" w:hAnsi="Times New Roman"/>
          <w:b/>
          <w:sz w:val="24"/>
          <w:szCs w:val="24"/>
          <w:lang w:val="ru-RU"/>
        </w:rPr>
        <w:t xml:space="preserve">Вместе с тем, </w:t>
      </w:r>
      <w:r>
        <w:rPr>
          <w:rFonts w:ascii="Times New Roman" w:hAnsi="Times New Roman"/>
          <w:sz w:val="24"/>
          <w:szCs w:val="24"/>
          <w:lang w:val="ru-RU"/>
        </w:rPr>
        <w:t>необходимо в соответствии с законом ужесточать управление налогообложением, регламентировать управление неналоговыми поступлениями, повышать качество финансовых доходов, решительно предотвращать и пресекать взимание необоснованных сборов, штрафов и поборов.</w:t>
      </w:r>
    </w:p>
    <w:p>
      <w:pPr>
        <w:adjustRightInd w:val="0"/>
        <w:snapToGrid w:val="0"/>
        <w:spacing w:line="300" w:lineRule="auto"/>
        <w:ind w:firstLine="420"/>
        <w:rPr>
          <w:rFonts w:ascii="Times New Roman" w:hAnsi="Times New Roman"/>
          <w:b/>
          <w:sz w:val="24"/>
          <w:szCs w:val="24"/>
          <w:lang w:val="ru-RU"/>
        </w:rPr>
      </w:pPr>
      <w:r>
        <w:rPr>
          <w:rFonts w:ascii="Times New Roman" w:hAnsi="Times New Roman"/>
          <w:sz w:val="24"/>
          <w:szCs w:val="24"/>
          <w:lang w:val="ru-RU"/>
        </w:rPr>
        <w:t xml:space="preserve">В ходе реализации активной финансовой политики мы должны ориентироваться на конкретные цели, правильно определять направленность государственных мер, обращая особое внимание на время и интенсивность их применения, укреплять системное мышление, по возможности переносить на более ранний срок запуск работы в разных сферах и реализацию мер по разным направлениям. </w:t>
      </w:r>
      <w:r>
        <w:rPr>
          <w:rFonts w:ascii="Times New Roman" w:hAnsi="Times New Roman"/>
          <w:b/>
          <w:sz w:val="24"/>
          <w:szCs w:val="24"/>
          <w:lang w:val="ru-RU"/>
        </w:rPr>
        <w:t xml:space="preserve">Во-первых, твердо стоять на позиции оптимизации прироста и активизации имеющегося. </w:t>
      </w:r>
      <w:r>
        <w:rPr>
          <w:rFonts w:ascii="Times New Roman" w:hAnsi="Times New Roman"/>
          <w:sz w:val="24"/>
          <w:szCs w:val="24"/>
          <w:lang w:val="ru-RU"/>
        </w:rPr>
        <w:t xml:space="preserve">Необходимо неуклонно способствовать укреплению и увеличению источников бюджетных и налоговых доходов, в едином порядке планировать различные финансовые средства, ресурсы и активы, стимулировать взаимодействие между эффективным использованием новых активов и активизацией резервов, посредством введения в оборот резервов способствовать росту новых активов. </w:t>
      </w:r>
      <w:r>
        <w:rPr>
          <w:rFonts w:ascii="Times New Roman" w:hAnsi="Times New Roman"/>
          <w:b/>
          <w:sz w:val="24"/>
          <w:szCs w:val="24"/>
          <w:lang w:val="ru-RU"/>
        </w:rPr>
        <w:t>Во-вторых, строго соблюдать принцип бережливости и экономии, обеспечивать приоритетные расходы.</w:t>
      </w:r>
      <w:r>
        <w:rPr>
          <w:rFonts w:ascii="Times New Roman" w:hAnsi="Times New Roman"/>
          <w:sz w:val="24"/>
          <w:szCs w:val="24"/>
          <w:lang w:val="ru-RU"/>
        </w:rPr>
        <w:t xml:space="preserve"> Мы должны разрабатывать более строгие бюджетные требования, принимать более осуществимые меры, обеспечивать неукоснительное соблюдение партийными и правительственными органами режима экономии, чтобы концентрировать финансовые ресурсы на должном выполнении важнейших дел.</w:t>
      </w:r>
      <w:r>
        <w:rPr>
          <w:rFonts w:ascii="Times New Roman" w:hAnsi="Times New Roman"/>
          <w:b/>
          <w:sz w:val="24"/>
          <w:szCs w:val="24"/>
          <w:lang w:val="ru-RU"/>
        </w:rPr>
        <w:t xml:space="preserve"> В-третьих, прилагать неустанные усилия к раскрытию финансового потенциала посредством оптимизации управления, а также к повышению результативности бюджетных расходов посредством усиления мониторинга.</w:t>
      </w:r>
      <w:r>
        <w:rPr>
          <w:rFonts w:ascii="Times New Roman" w:hAnsi="Times New Roman"/>
          <w:sz w:val="24"/>
          <w:szCs w:val="24"/>
          <w:lang w:val="ru-RU"/>
        </w:rPr>
        <w:t xml:space="preserve"> Необходимо интенсивно продвигать научный подход в бюджетном управлении, неуклонно следовать принципу того, что расходы на обеспечение народного благосостояния и реализацию капитального строительства должны соотноситься с собственными финансовыми возможностями. В строгом соответствии с концепцией результативности должным образом использовать бюджетные средства на самые необходимые нужды и обеспечить достижение реальных результатов. </w:t>
      </w:r>
      <w:r>
        <w:rPr>
          <w:rFonts w:ascii="Times New Roman" w:hAnsi="Times New Roman"/>
          <w:b/>
          <w:sz w:val="24"/>
          <w:szCs w:val="24"/>
          <w:lang w:val="ru-RU"/>
        </w:rPr>
        <w:t>В-четвертых, посредством ужесточения финансово-экономической дисциплины решительно предотвращать риски.</w:t>
      </w:r>
      <w:r>
        <w:rPr>
          <w:rFonts w:ascii="Times New Roman" w:hAnsi="Times New Roman"/>
          <w:sz w:val="24"/>
          <w:szCs w:val="24"/>
          <w:lang w:val="ru-RU"/>
        </w:rPr>
        <w:t xml:space="preserve"> Необходимо повышать готовность к худшим сценариям и экстремальным кризисным ситуациям, принимать эффективные меры для реагирования на риски, которые могут оказывать серьезное влияние на стабильное функционирование финансовой сферы. Наряду с этим следует усиливать сдерживающий эффект строгой финансово-экономической дисциплины, чтобы обеспечить реализацию финансовой политики. </w:t>
      </w:r>
      <w:r>
        <w:rPr>
          <w:rFonts w:ascii="Times New Roman" w:hAnsi="Times New Roman"/>
          <w:b/>
          <w:sz w:val="24"/>
          <w:szCs w:val="24"/>
          <w:lang w:val="ru-RU"/>
        </w:rPr>
        <w:t xml:space="preserve">В-пятых, неуклонно повышать дальновидность планирования и должным образом направлять ожидания. </w:t>
      </w:r>
      <w:r>
        <w:rPr>
          <w:rFonts w:ascii="Times New Roman" w:hAnsi="Times New Roman"/>
          <w:sz w:val="24"/>
          <w:szCs w:val="24"/>
          <w:lang w:val="ru-RU"/>
        </w:rPr>
        <w:t>Необходимо серьезно выполнять работу по разработке запасных мер, согласованно продвигать процесс осуществления финансовой политики и ориентирования ожиданий, обращать особое внимание на отклики рынка, активно реагировать на озабоченности общества, укреплять направляющую и воздействующую функцию государственных мер.</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3. Главные направления бюджетно-финансовой политики на 2025 год</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 xml:space="preserve">Оказывать поддержку в расширении внутреннего спроса. </w:t>
      </w:r>
      <w:r>
        <w:rPr>
          <w:rFonts w:ascii="Times New Roman" w:hAnsi="Times New Roman"/>
          <w:b/>
          <w:i/>
          <w:sz w:val="24"/>
          <w:szCs w:val="24"/>
          <w:lang w:val="ru-RU"/>
        </w:rPr>
        <w:t>Всемерно активизировать потребление.</w:t>
      </w:r>
      <w:r>
        <w:rPr>
          <w:rFonts w:ascii="Times New Roman" w:hAnsi="Times New Roman"/>
          <w:sz w:val="24"/>
          <w:szCs w:val="24"/>
          <w:lang w:val="ru-RU"/>
        </w:rPr>
        <w:t xml:space="preserve"> Необходимо комплексно применять инструменты бюджетно-налоговой политики, способствовать развертыванию целевых мероприятий по активизации потребления. Усиливать работу по обеспечению народного благосостояния, посредством различных каналов увеличивать доход населения, повышать эффективность работы по повышению народного благосостояния и стимулированию потребления. Планируется выпустить сверхдолгосрочные специальные гособлигации в размере 300 млрд юаней, предназначенные для оказания поддержки в приобретении потребительских товаров по схеме трейд-ин, что на 150 млрд юаней больше, чем в прошлом году. Мы будем расширять сферу охвата соответствующими льготными мерами, оптимизировать процедуру подачи заявки на получение дотаций, улучшать систему приема и утилизации старой техники, чтобы стимулировать еще больший спрос на товары длительного пользования. Предстоит оказывать поддержку в расширении потребления в сфере здравоохранения, обеспечения достойной старости, ухода за детьми ясельного и дошкольного возраста и других услуг, способствовать ускоренному развитию новых сфер активного потребления, связанных с цифровизацией и интеллектуализацией, культурой и туризмом, спортом и физкультурой. Планируется выделить дополнительные премиальные и дотационные средства, направленные на поддержку местных правительств в развитии новых форм, моделей и сценариев потребления, а также в создании международных городов-центров потребления. Укреплять согласованность и взаимодействие бюджетной и финансовой политики, осуществлять субсидирование процентных ставок по личным потребительским кредитам в ключевых сферах и по кредитам, выдаваемым хозяйствующим субъектам в сферах общественного питания, гостиничного бизнеса, обслуживания на дому и других соответствующих отраслей. Совершенствовать меры по развитию беспошлинных магазинов, способствовать увеличению потребления в рамках въездного туризма. Следует интенсивно реализовывать пилотные проекты по созданию городов, располагающих современной системой товарного обращения, продвигать работу по осуществлению плана действий, нацеленного на улучшение и укрепление логистической цепи в государственных узлах комбинированных грузоперевозок, способствовать осуществлению демонстрационных проектов по содействию модернизации и цифровой трансформации инфраструктуры автомобильного и водного транспорта. Оказывать поддержку в создании комплексной транспортной системы, стимулировать снижение затрат всего общества на логистику. </w:t>
      </w:r>
      <w:r>
        <w:rPr>
          <w:rFonts w:ascii="Times New Roman" w:hAnsi="Times New Roman"/>
          <w:b/>
          <w:i/>
          <w:sz w:val="24"/>
          <w:szCs w:val="24"/>
          <w:lang w:val="ru-RU"/>
        </w:rPr>
        <w:t>Активно увеличивать эффективные инвестиции.</w:t>
      </w:r>
      <w:r>
        <w:rPr>
          <w:rFonts w:ascii="Times New Roman" w:hAnsi="Times New Roman"/>
          <w:b/>
          <w:sz w:val="24"/>
          <w:szCs w:val="24"/>
          <w:lang w:val="ru-RU"/>
        </w:rPr>
        <w:t xml:space="preserve"> </w:t>
      </w:r>
      <w:r>
        <w:rPr>
          <w:rFonts w:ascii="Times New Roman" w:hAnsi="Times New Roman"/>
          <w:sz w:val="24"/>
          <w:szCs w:val="24"/>
          <w:lang w:val="ru-RU"/>
        </w:rPr>
        <w:t xml:space="preserve">Необходимо на основе единого планирования должным образом использовать различные правительственные инвестиции, наращивать динамику инвестирования и в приоритетном порядке направлять финансовые средства в ключевые сферы и слабые звенья, чтобы повысить эффективность инвестиций. Усиливать межведомственное взаимодействие, улучшать качество резервных проектов и предварительной работы. Важно осуществлять рациональное планирование выпуска сверхдолгосрочных специальных гособлигаций и целевых облигаций местных правительств, ускорять процесс выделения полученных средств бюджетам нижестоящих инстанций, своевременно распределять и использовать их для реализации конкретных проектов, чтобы в кратчайшие сроки сформировать физический объем работ. Посредством использования информационных систем и других способов отслеживания в режиме реального времени обеспечивать всеохватный контроль за распределением финансовых средств по проектам, их выделением нижестоящим инстанциям, темпами их расходования и другими процессами во избежание простаивания, нецелевого использования и расточительства финансовых средств. В контексте укрепления координации между бюджетной и финансовой политикой опубликовать руководящие указания, регламентирующие реализацию утвержденных проектов и эксплуатацию построенных объектов в рамках государственно-частного партнерства с целью того, чтобы за счет правительственных инвестиций обеспечить эффективное привлечение еще большего объема общественного капитала. </w:t>
      </w:r>
      <w:r>
        <w:rPr>
          <w:rFonts w:ascii="Times New Roman" w:hAnsi="Times New Roman"/>
          <w:b/>
          <w:i/>
          <w:sz w:val="24"/>
          <w:szCs w:val="24"/>
          <w:lang w:val="ru-RU"/>
        </w:rPr>
        <w:t>Прилагать больше усилий для стабилизации внешней торговли и иностранных инвестиций.</w:t>
      </w:r>
      <w:r>
        <w:rPr>
          <w:rFonts w:ascii="Times New Roman" w:hAnsi="Times New Roman"/>
          <w:b/>
          <w:sz w:val="24"/>
          <w:szCs w:val="24"/>
          <w:lang w:val="ru-RU"/>
        </w:rPr>
        <w:t xml:space="preserve"> </w:t>
      </w:r>
      <w:r>
        <w:rPr>
          <w:rFonts w:ascii="Times New Roman" w:hAnsi="Times New Roman"/>
          <w:sz w:val="24"/>
          <w:szCs w:val="24"/>
          <w:lang w:val="ru-RU"/>
        </w:rPr>
        <w:t xml:space="preserve">Необходимо совершенствовать налоговую политику в области импорта и экспорта, в том числе политику таможенных пошлин, наращивать динамику поддержки страхования экспортных кредитов и кредитования экспорта, стимулировать развитие торговли услугами, цифровой торговли и трансграничной электронной коммерции, а также продвигать создание зарубежных складов. Предстоит разработать стандарты по осуществлению правительственных закупок продукции отечественного производства и соответствующие правила, гарантировать равноправное участие отечественных предприятий и предприятий с иностранным капиталом в мероприятиях по правительственным закупкам. Поддерживать пилотные зоны свободной торговли, обладающие соответствующими условиями, в инициативном сопряжении с международными торгово-экономическими правилами высокого стандарта, чтобы создавать новые площадки с высоким уровнем открытости внешнему миру. Предстоит должным образом выполнять работу по проектированию бюджетно-налоговой системы, интенсивно содействовать реализации кардинальных мер, касающихся </w:t>
      </w:r>
      <w:bookmarkStart w:id="44" w:name="OLE_LINK882"/>
      <w:bookmarkStart w:id="45" w:name="OLE_LINK881"/>
      <w:r>
        <w:rPr>
          <w:rFonts w:ascii="Times New Roman" w:hAnsi="Times New Roman"/>
          <w:sz w:val="24"/>
          <w:szCs w:val="24"/>
          <w:lang w:val="ru-RU"/>
        </w:rPr>
        <w:t>Хайнаньского порта свободной торговли</w:t>
      </w:r>
      <w:bookmarkEnd w:id="44"/>
      <w:bookmarkEnd w:id="45"/>
      <w:r>
        <w:rPr>
          <w:rFonts w:ascii="Times New Roman" w:hAnsi="Times New Roman"/>
          <w:sz w:val="24"/>
          <w:szCs w:val="24"/>
          <w:lang w:val="ru-RU"/>
        </w:rPr>
        <w:t>. Продвигать работу по присоединению к Соглашению о партнерстве в области цифровой экономики и Всеобъемлющему и прогрессивному соглашению о Транстихоокеанском партнерстве, активнее проводить переговоры по подписанию соглашения о свободной торговле между Китаем и Советом сотрудничества арабских стран Персидского залива, а также переговоры в других форматах, расширять сеть зон свободной торговли высокого стандарта.</w:t>
      </w:r>
    </w:p>
    <w:p>
      <w:pPr>
        <w:adjustRightInd w:val="0"/>
        <w:snapToGrid w:val="0"/>
        <w:spacing w:line="300" w:lineRule="auto"/>
        <w:ind w:firstLine="420"/>
        <w:rPr>
          <w:rFonts w:ascii="Times New Roman" w:hAnsi="Times New Roman"/>
          <w:kern w:val="0"/>
          <w:sz w:val="24"/>
          <w:szCs w:val="24"/>
          <w:lang w:val="ru-RU"/>
        </w:rPr>
      </w:pPr>
      <w:r>
        <w:rPr>
          <w:rFonts w:ascii="Times New Roman" w:hAnsi="Times New Roman"/>
          <w:b/>
          <w:sz w:val="24"/>
          <w:szCs w:val="24"/>
          <w:lang w:val="ru-RU"/>
        </w:rPr>
        <w:t xml:space="preserve">Оказывать поддержку в формировании современной производственной системы. </w:t>
      </w:r>
      <w:r>
        <w:rPr>
          <w:rFonts w:ascii="Times New Roman" w:hAnsi="Times New Roman"/>
          <w:b/>
          <w:i/>
          <w:sz w:val="24"/>
          <w:szCs w:val="24"/>
          <w:lang w:val="ru-RU"/>
        </w:rPr>
        <w:t>Ускоренными темпами стимулировать трансформацию и модернизацию производств.</w:t>
      </w:r>
      <w:r>
        <w:rPr>
          <w:rFonts w:ascii="Times New Roman" w:hAnsi="Times New Roman"/>
          <w:b/>
          <w:sz w:val="24"/>
          <w:szCs w:val="24"/>
          <w:lang w:val="ru-RU"/>
        </w:rPr>
        <w:t xml:space="preserve"> </w:t>
      </w:r>
      <w:r>
        <w:rPr>
          <w:rFonts w:ascii="Times New Roman" w:hAnsi="Times New Roman"/>
          <w:sz w:val="24"/>
          <w:szCs w:val="24"/>
          <w:lang w:val="ru-RU"/>
        </w:rPr>
        <w:t xml:space="preserve">Необходимо всеми силами продвигать индустриализацию нового типа. В частности, усиливать поддержку научно-технологических инноваций в сфере обрабатывающей промышленности, углублять интегрированное развитие научно-технических инноваций и производственных инноваций, стимулировать развитие коммерческой космонавтики, экономики малых высот и других нарождающихся отраслей, а также биопроизводства, воплощенного искусственного интеллекта и прочих индустрий будущего. Посредством поддержки развития технологий и индустрий искусственного интеллекта создавать новые стимулы к трансформации и модернизации традиционных производств. Для стимулирования высококачественного развития ключевых сфер обрабатывающей промышленности, повышения стрессоустойчивости и уровня безопасности производственных цепочек и цепочек поставок из центрального бюджета будут выделены целевые средства на нужды данного сектора экономики в размере 11,878 млрд юаней с увеличением на 14,5%. В целях поддержки модернизации оборудования планируется выпустить сверхдолгосрочные специальные гособлигации в размере 200 млрд юаней, что на 50 млрд юаней больше по сравнению с прошлогодним показателем. Вышеуказанные заемные средства будут использованы для дальнейшего расширения сферы охвата программой модернизации оборудования, снижения порогов допуска к ней, активизации передовых производственных мощностей и выведения из строя устаревших. Следует поддерживать техническое перевооружение нового типа в обрабатывающей промышленности, повышать ее уровень высокотехнологичности, интеллектуализации и экологичности. Активно внедрять меры по субсидированию взносов на страхование первых партий оборудования и первых образцов новых материалов, ускоренными темпами продвигать высококачественное развитие важнейшего технологического оборудования и сферы новых материалов. Формировать научно обоснованную и более эффективную систему управления правительственными инвестиционными фондами, оптимизировать функции различных производственных инвестиционных фондов, поощрять развитие венчурных фондов, наращивать и развивать долгосрочные инвестиции и «терпеливый» капитал, посредством использования рыночных инструментов стимулировать привлечение еще большего объема общественного капитала. </w:t>
      </w:r>
      <w:r>
        <w:rPr>
          <w:rFonts w:ascii="Times New Roman" w:hAnsi="Times New Roman"/>
          <w:b/>
          <w:i/>
          <w:sz w:val="24"/>
          <w:szCs w:val="24"/>
          <w:lang w:val="ru-RU"/>
        </w:rPr>
        <w:t xml:space="preserve">Усиливать роль предприятий в инновационных и производственных цепочках. </w:t>
      </w:r>
      <w:r>
        <w:rPr>
          <w:rFonts w:ascii="Times New Roman" w:hAnsi="Times New Roman"/>
          <w:sz w:val="24"/>
          <w:szCs w:val="24"/>
          <w:lang w:val="ru-RU"/>
        </w:rPr>
        <w:t xml:space="preserve">Необходимо поддерживать предприятия в реализации важнейших государственных научно-технологических проектов в качестве организаторов или рядовых участников, надлежащим образом использовать налоговые льготы, целевые средства, правительственные закупки и другие инструменты политики для оказания предприятиям помощи в разрешении реальных трудностей и проблем, наращивать их потенциал в области инновационного развития. Активно реализовывать политику по премированию и субсидированию малых и средних предприятий, отличающихся специализированностью, детализированностью, уникальностью и инновационностью. Проводить работу по реализации в третьей партии городов-участников пилотного проекта по цифровой трансформации малых и средних предприятий, чтобы способствовать их высококачественному развитию. Опубликовать методы регулирования и развития практики правительственных гарантий финансирования, интенсивно продвигать работу по формированию соответствующей системы, способствовать расширению сферы охвата гарантиями и увеличению их объема, чтобы смягчить для малых предприятий, микропредприятий и других субъектов хозяйствования проблемы, связанные с малодоступностью финансовых ресурсов и дороговизной заемных средств. </w:t>
      </w:r>
      <w:r>
        <w:rPr>
          <w:rFonts w:ascii="Times New Roman" w:hAnsi="Times New Roman"/>
          <w:kern w:val="0"/>
          <w:sz w:val="24"/>
          <w:szCs w:val="24"/>
          <w:lang w:val="ru-RU"/>
        </w:rPr>
        <w:t>Тщательно и основательно претворять в жизнь государственные меры по стимулированию развития негосударственного сектора экономики. Усиливать межведомственную координацию для продвижения работы по решению проблем с задержкой местными правительствами платежей предприятиям.</w:t>
      </w:r>
      <w:r>
        <w:rPr>
          <w:rFonts w:ascii="Times New Roman" w:hAnsi="Times New Roman"/>
          <w:b/>
          <w:kern w:val="0"/>
          <w:sz w:val="24"/>
          <w:szCs w:val="24"/>
          <w:lang w:val="ru-RU"/>
        </w:rPr>
        <w:t xml:space="preserve"> </w:t>
      </w:r>
      <w:r>
        <w:rPr>
          <w:rFonts w:ascii="Times New Roman" w:hAnsi="Times New Roman"/>
          <w:kern w:val="0"/>
          <w:sz w:val="24"/>
          <w:szCs w:val="24"/>
          <w:lang w:val="ru-RU"/>
        </w:rPr>
        <w:t>Способствовать</w:t>
      </w:r>
      <w:r>
        <w:rPr>
          <w:rFonts w:ascii="Times New Roman" w:hAnsi="Times New Roman"/>
          <w:b/>
          <w:kern w:val="0"/>
          <w:sz w:val="24"/>
          <w:szCs w:val="24"/>
          <w:lang w:val="ru-RU"/>
        </w:rPr>
        <w:t xml:space="preserve"> </w:t>
      </w:r>
      <w:r>
        <w:rPr>
          <w:rFonts w:ascii="Times New Roman" w:hAnsi="Times New Roman"/>
          <w:kern w:val="0"/>
          <w:sz w:val="24"/>
          <w:szCs w:val="24"/>
          <w:lang w:val="ru-RU"/>
        </w:rPr>
        <w:t>созданию единого всекитайского рынка, последовательно улучшать бизнес-среду.</w:t>
      </w:r>
    </w:p>
    <w:p>
      <w:pPr>
        <w:adjustRightInd w:val="0"/>
        <w:snapToGrid w:val="0"/>
        <w:spacing w:line="300" w:lineRule="auto"/>
        <w:ind w:firstLine="420"/>
        <w:rPr>
          <w:rFonts w:ascii="Times New Roman" w:hAnsi="Times New Roman"/>
          <w:sz w:val="24"/>
          <w:szCs w:val="24"/>
          <w:lang w:val="ru-RU"/>
        </w:rPr>
      </w:pPr>
      <w:r>
        <w:rPr>
          <w:rFonts w:ascii="Times New Roman" w:hAnsi="Times New Roman"/>
          <w:b/>
          <w:sz w:val="24"/>
          <w:szCs w:val="24"/>
          <w:lang w:val="ru-RU"/>
        </w:rPr>
        <w:t xml:space="preserve">Оказывать поддержку в реализации стратегии подъема страны силами науки и образования. </w:t>
      </w:r>
      <w:r>
        <w:rPr>
          <w:rFonts w:ascii="Times New Roman" w:hAnsi="Times New Roman"/>
          <w:b/>
          <w:i/>
          <w:sz w:val="24"/>
          <w:szCs w:val="24"/>
          <w:lang w:val="ru-RU"/>
        </w:rPr>
        <w:t>Продвигать работу по превращению Китая в мировую образовательную державу.</w:t>
      </w:r>
      <w:r>
        <w:rPr>
          <w:rFonts w:ascii="Times New Roman" w:hAnsi="Times New Roman"/>
          <w:sz w:val="24"/>
          <w:szCs w:val="24"/>
          <w:lang w:val="ru-RU"/>
        </w:rPr>
        <w:t xml:space="preserve"> В целях дальнейшего увеличения инвестиций в образование собственные расходы центрального бюджета на нужды образования планируются в размере 174,443 млрд юаней с увеличением на 5%. Мы будем способствовать оптимизации распределения образовательных ресурсов между различными регионами, формировать согласованный с изменением демографической ситуации механизм предоставления основных общественных услуг в сфере образования, способствовать качественному и сбалансированному развитию обязательного образования, постепенно сокращать разрывы, существующие в области образования между разными регионами, городом и селом, а также между различными учебными заведениями и группами людей. Содействовать планомерному распространению практики по предоставлению бесплатного дошкольного образования, способствовать диверсифицированному развитию средних школ высшей ступени. Повсеместно создавать систему бюджетного финансирования профессиональных учебных заведений в расчете на одного обучающегося, функционирующую на основе дифференцированного подхода и в соответствии с классификацией профилей обучения, укреплять адаптивность профессионального образования. Следует на основе дифференцированного подхода способствовать реформированию и развитию высших учебных заведений, форсировать создание имеющих китайскую специфику первоклассных вузов и академических дисциплин мирового уровня, интенсивно развивать фундаментальные, новые и пограничные дисциплины, усиливать подготовку выдающихся специалистов, активизировать поддерживающую роль образования для научно-технологического развития и подготовки кадров. Поддерживать реформы и развитие местных вузов, а также улучшение условий обучения в них. Предстоит повышать нормы академических стипендий для аспирантов, обучающихся в вузах центрального подчинения, а также нормы государственных стипендий для учащихся средних профессиональных училищ и средних школ высшей ступени. На предоставление учащимся дотаций планируется выделить из центрального бюджета местным 80,945 млрд юаней с увеличением на 11,5%. </w:t>
      </w:r>
      <w:r>
        <w:rPr>
          <w:rFonts w:ascii="Times New Roman" w:hAnsi="Times New Roman"/>
          <w:b/>
          <w:i/>
          <w:sz w:val="24"/>
          <w:szCs w:val="24"/>
          <w:lang w:val="ru-RU"/>
        </w:rPr>
        <w:t>Продвигать работу по превращению Китая в мировую научно-техническую державу.</w:t>
      </w:r>
      <w:r>
        <w:rPr>
          <w:rFonts w:ascii="Times New Roman" w:hAnsi="Times New Roman"/>
          <w:sz w:val="24"/>
          <w:szCs w:val="24"/>
          <w:lang w:val="ru-RU"/>
        </w:rPr>
        <w:t xml:space="preserve"> Мы будем совершенствовать механизм распределения центральных бюджетных средств на науку и технику, а также механизм их управления и расходования, повышать эффективность инвестиций в научно-технологические инновации, пробуждать инновационную и созидательную активность. Собственные расходы центрального бюджета на нужды науки и техники планируются в размере 398,119 млрд юаней с увеличением на 10%, которые будут в приоритетном порядке направлены на фундаментальные исследования, прикладные фундаментальные исследования и на выполнение государственных стратегических задач в сфере науки и техники. Важно повышать долю предназначенных для фундаментальных исследований ассигнований на науку и технику, совершенствовать механизм финансирования фундаментальных исследований, сочетающий стабильную поддержку и поддержку на конкурентных началах. Всемерно поддерживать освоение основных ключевых технологий, надлежащим образом осуществлять финансовое обеспечение важнейших государственных научно-технических проектов. Совершенствовать механизм оказания на стабильной основе финансовой поддержки государственным лабораториям, наращивать интенсивность поддержки НИИ. Необходимо усиливать единое планирование в определении научно-технических задач и выделении ассигнований, улучшать механизм рассмотрения и утверждения соответствующих бюджетных расходов, оптимизировать размещение инновационных ресурсов, совершенствовать механизм дифференцированной поддержки, соответствующий миссии и позиции различных субъектов инновационной деятельности. Следует интенсифицировать работу по созданию государственного стратегического потенциала и кадрового резерва в сфере науки и техники, отдавая приоритет поддержке подготовки молодых научно-технических кадров. Усиливать координацию между Центром и местами, оказывать поддержку в создании и развитии международных и региональных инновационных научно-технологических центров. Оказывать поддержку в надлежащем выполнении работы по популяризации научных знаний.</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b/>
          <w:sz w:val="24"/>
          <w:szCs w:val="24"/>
          <w:lang w:val="ru-RU"/>
        </w:rPr>
        <w:t>Оказывать поддержку в обеспечении и повышении народного благосостояния.</w:t>
      </w:r>
      <w:r>
        <w:rPr>
          <w:rFonts w:ascii="Times New Roman" w:hAnsi="Times New Roman"/>
          <w:sz w:val="24"/>
          <w:szCs w:val="24"/>
          <w:lang w:val="ru-RU"/>
        </w:rPr>
        <w:t xml:space="preserve"> </w:t>
      </w:r>
      <w:r>
        <w:rPr>
          <w:rFonts w:ascii="Times New Roman" w:hAnsi="Times New Roman"/>
          <w:b/>
          <w:i/>
          <w:sz w:val="24"/>
          <w:szCs w:val="24"/>
          <w:lang w:val="ru-RU"/>
        </w:rPr>
        <w:t>Способствовать высококачественной и полной занятости.</w:t>
      </w:r>
      <w:r>
        <w:rPr>
          <w:rFonts w:ascii="Times New Roman" w:hAnsi="Times New Roman"/>
          <w:sz w:val="24"/>
          <w:szCs w:val="24"/>
          <w:lang w:val="ru-RU"/>
        </w:rPr>
        <w:t xml:space="preserve"> Планируется выделить и</w:t>
      </w:r>
      <w:r>
        <w:rPr>
          <w:rFonts w:ascii="Times New Roman" w:hAnsi="Times New Roman"/>
          <w:kern w:val="0"/>
          <w:sz w:val="24"/>
          <w:szCs w:val="24"/>
          <w:lang w:val="ru-RU"/>
        </w:rPr>
        <w:t xml:space="preserve">з центрального бюджета субсидии на трудоустройство для реализации мер поддержки в области занятости и предпринимательства, а также для поддержки реализации демонстрационных проектов по наращиванию потенциала в предоставлении общественных услуг в сфере трудоустройства. Мы будем принимать активные меры для оказания помощи предприятиям в сохранении рабочих мест, продолжать осуществлять промежуточные меры по снижению ставок страховых взносов на страхование по безработице и страхование от производственного травматизма. Прилагать все усилия к решению приоритетных задач по трудоустройству выпускников вузов и других групп молодежи, наращивая при этом поддержку сельских трудовых мигрантов и лиц, испытывающих затруднения в поиске работы. Предстоит расширять сферу охвата пилотными проектами по страхованию профессиональных рисков для лиц, вовлеченных в новые формы занятости, продвигать практику по проведению прямых межпровинциальных расчетов по месту оказания медицинских услуг лицам, участвующим в страховании от производственного травматизма. Улучшать систему непрерывной профессионально-квалификационной подготовки для смягчения структурных противоречий в сфере занятости. </w:t>
      </w:r>
      <w:r>
        <w:rPr>
          <w:rFonts w:ascii="Times New Roman" w:hAnsi="Times New Roman"/>
          <w:b/>
          <w:i/>
          <w:kern w:val="0"/>
          <w:sz w:val="24"/>
          <w:szCs w:val="24"/>
          <w:lang w:val="ru-RU"/>
        </w:rPr>
        <w:t>Усиливать обеспечение предоставления услуг в области здравоохранения.</w:t>
      </w:r>
      <w:r>
        <w:rPr>
          <w:rFonts w:ascii="Times New Roman" w:hAnsi="Times New Roman"/>
          <w:kern w:val="0"/>
          <w:sz w:val="24"/>
          <w:szCs w:val="24"/>
          <w:lang w:val="ru-RU"/>
        </w:rPr>
        <w:t xml:space="preserve"> Мы будем организовывать работу по реализации четвертой группы демонстрационных проектов в области реформирования и высококачественного развития государственных медицинских учреждений. Совершенствовать систему услуг общественного здравоохранения и оптимизировать важнейшие программы в этой области, обеспечить последовательное повышение среднедушевой годовой нормы госбюджетных субсидий на основные виды услуг общественного здравоохранения и увеличить ее до 99 юаней. Мы будем поддерживать укрепление потенциала низовых учреждений в предоставлении медико-санитарных услуг, должным образом выполнять работу по подготовке специалистов в области медобслуживания и здравоохранения с ориентацией на удовлетворение реальных потребностей. Поддерживать сохранение и инновационное развитие традиционной китайской медицины и фармацевтики. Среднедушевая годовая норма госбюджетных субсидий на медицинское страхование для сельского и неработающего городского населения вырастет на 30 юаней и достигнет 700 юаней. Совершенствовать механизм финансирования базового медицинского страхования, а также механизм регулирования страхового вознаграждения, содействовать единому планированию фондов базового медицинского страхования на провинциальном уровне, углублять реформу порядка выплаты из фондов медицинского страхования, усиливать надзор за данными фондами. </w:t>
      </w:r>
      <w:r>
        <w:rPr>
          <w:rFonts w:ascii="Times New Roman" w:hAnsi="Times New Roman"/>
          <w:b/>
          <w:i/>
          <w:kern w:val="0"/>
          <w:sz w:val="24"/>
          <w:szCs w:val="24"/>
          <w:lang w:val="ru-RU"/>
        </w:rPr>
        <w:t>Создавать всеохватывающую и прочную сеть социального обеспечения.</w:t>
      </w:r>
      <w:r>
        <w:rPr>
          <w:rFonts w:ascii="Times New Roman" w:hAnsi="Times New Roman"/>
          <w:kern w:val="0"/>
          <w:sz w:val="24"/>
          <w:szCs w:val="24"/>
          <w:lang w:val="ru-RU"/>
        </w:rPr>
        <w:t xml:space="preserve"> Мы будем оказывать содействие в надлежащем выполнении работы по реализации реформы в области постепенного повышения установленного законом пенсионного возраста, в разумной степени увеличивать размер базовых пенсий по старости для пенсионеров. При этом общенациональный минимальный размер ежемесячной выплаты базовой части пенсий по старости для сельских и неработающих городских жителей будет повышен на 20 юаней на одного человека. Последовательно внедрять практику единого планирования фондов базового страхования по старости для рабочих и служащих предприятий в масштабах всей страны, гарантировать своевременную и полную выплату пенсий. Способствовать стабильному функционированию системы индивидуальных пенсионных накоплений, изучать возможность расширения сферы охвата системой корпоративных пенсионных программ. Необходимо интенсифицировать работу по обеспечению основных жизненных потребностей малообеспеченных категорий населения, активнее проводить работу по оказанию социальной помощи на разных уровнях и на основе дифференцированного подхода. Поддерживать укрепление инфраструктуры и сил реагирования на чрезвычайные ситуации на низовом уровне, повышать потенциал в области предупреждения стихийных бедствий, ликвидации их последствий и оказания помощи пострадавшим.</w:t>
      </w:r>
      <w:r>
        <w:rPr>
          <w:rFonts w:ascii="Times New Roman" w:hAnsi="Times New Roman" w:eastAsiaTheme="minorEastAsia"/>
          <w:b/>
          <w:i/>
          <w:sz w:val="24"/>
          <w:szCs w:val="24"/>
          <w:lang w:val="ru-RU"/>
        </w:rPr>
        <w:t xml:space="preserve"> Совершенствовать систему мер поддержки в области демографического развития.</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 xml:space="preserve">Укреплять систему общедоступных услуг по уходу и воспитанию детей ясельного и дошкольного возраста, обеспечивать выплату пособий по деторождению и уходу за ребенком. Всемерно развивать общедоступные услуги по обеспечению достойной старости, продолжать содействовать реализации пилотных проектов, нацеленных на внедрение инноваций в систему услуг по обеспечению достойной старости на уровне уездов, совершенствовать трехуровневую сеть обслуживания пожилых людей, охватывающую уезд, волость и село. Содействовать развитию сферы обслуживания людей старшего поколения на дому при поддержке со стороны микрорайонов, активизировать развитие услуг по организации питания для данной категории людей. Ускорять процесс создания системы страхования по долгосрочному уходу. Прилагать усилия к увеличению и укреплению всекитайского фонда социального обеспечения, эффективно использовать его роль как резервного фонда стратегической важности. </w:t>
      </w:r>
      <w:r>
        <w:rPr>
          <w:rFonts w:ascii="Times New Roman" w:hAnsi="Times New Roman" w:eastAsiaTheme="minorEastAsia"/>
          <w:b/>
          <w:i/>
          <w:sz w:val="24"/>
          <w:szCs w:val="24"/>
          <w:lang w:val="ru-RU"/>
        </w:rPr>
        <w:t>Поддерживать развитие сферы культуры.</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Предстоит оздоровлять механизм финансового обеспечения сферы социально-культурных услуг, способствовать прямому направлению высококачественных культурных ресурсов в низы и оптимизации их распределения между городом и селом. Улучшать механизм инвестирования в системную защиту памятников культуры и культурного наследия, претворять в жизнь политику расходов в сфере охраны нематериального культурного наследия, оказывать поддержку в наследовании и развитии выдающейся традиционной китайской культуры. Продвигать высококачественное строительство государственных парков культуры. Усиливать подготовку специалистов в сфере культуры, поощрять создание еще большего количества выдающихся произведений литературы и искусства. Способствовать повышению эффективности международной коммуникации. Поддерживать развитие</w:t>
      </w:r>
      <w:bookmarkStart w:id="46" w:name="OLE_LINK72"/>
      <w:bookmarkStart w:id="47" w:name="OLE_LINK73"/>
      <w:r>
        <w:rPr>
          <w:rFonts w:ascii="Times New Roman" w:hAnsi="Times New Roman" w:eastAsiaTheme="minorEastAsia"/>
          <w:sz w:val="24"/>
          <w:szCs w:val="24"/>
          <w:lang w:val="ru-RU"/>
        </w:rPr>
        <w:t xml:space="preserve"> </w:t>
      </w:r>
      <w:r>
        <w:rPr>
          <w:rFonts w:ascii="Times New Roman" w:hAnsi="Times New Roman" w:eastAsia="PMingLiU"/>
          <w:sz w:val="24"/>
          <w:szCs w:val="24"/>
          <w:lang w:val="ru-RU" w:eastAsia="zh-TW"/>
        </w:rPr>
        <w:t>зимних видов</w:t>
      </w:r>
      <w:bookmarkEnd w:id="46"/>
      <w:bookmarkEnd w:id="47"/>
      <w:r>
        <w:rPr>
          <w:rFonts w:ascii="Times New Roman" w:hAnsi="Times New Roman" w:eastAsia="PMingLiU"/>
          <w:sz w:val="24"/>
          <w:szCs w:val="24"/>
          <w:lang w:val="ru-RU" w:eastAsia="zh-TW"/>
        </w:rPr>
        <w:t xml:space="preserve"> спорта. Усиливать финансовое обеспечение национальных сборных команд, </w:t>
      </w:r>
      <w:r>
        <w:rPr>
          <w:rFonts w:ascii="Times New Roman" w:hAnsi="Times New Roman" w:eastAsiaTheme="minorEastAsia"/>
          <w:sz w:val="24"/>
          <w:szCs w:val="24"/>
          <w:lang w:val="ru-RU"/>
        </w:rPr>
        <w:t xml:space="preserve">поддерживать наращивание усилий по спортивному воспитанию молодежи и подростков, стимулировать всестороннее развитие массового и профессионального спорта. </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b/>
          <w:sz w:val="24"/>
          <w:szCs w:val="24"/>
          <w:lang w:val="ru-RU"/>
        </w:rPr>
        <w:t>Оказывать поддержку в продвижении всестороннего подъема сельских районов.</w:t>
      </w:r>
      <w:r>
        <w:rPr>
          <w:rFonts w:ascii="Times New Roman" w:hAnsi="Times New Roman" w:eastAsiaTheme="minorEastAsia"/>
          <w:sz w:val="24"/>
          <w:szCs w:val="24"/>
          <w:lang w:val="ru-RU"/>
        </w:rPr>
        <w:t xml:space="preserve"> </w:t>
      </w:r>
      <w:r>
        <w:rPr>
          <w:rFonts w:ascii="Times New Roman" w:hAnsi="Times New Roman" w:eastAsiaTheme="minorEastAsia"/>
          <w:b/>
          <w:i/>
          <w:sz w:val="24"/>
          <w:szCs w:val="24"/>
          <w:lang w:val="ru-RU"/>
        </w:rPr>
        <w:t>Непрерывно повышать потенциал по стабилизации производства зерна и других основных видов сельхозпродукции, а также по обеспечению гарантированного снабжения ими.</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 xml:space="preserve">Мы будем неизменно прилагать усилия как для сохранения на стабильном уровне посевной площади сельскохозяйственных культур, так и для повышения урожайности на единицу площади, поддерживать создание сельхозугодий высокого стандарта и строительство гидромелиоративной инфраструктуры, продолжать работу по охране и использованию черноземов, интенсивно и в широком масштабе продвигать реализацию плана действий по увеличению урожайности на единицу площади земли, используемой для выращивания зерна и масличных культур, обеспечивая стабильное предложение зерновых и других основных видов сельхозпродукции. Следует совершенствовать политику сельскохозяйственных дотаций, претворять в жизнь политику минимальных закупочных цен на рис и пшеницу, продолжать реализовывать меры </w:t>
      </w:r>
      <w:r>
        <w:rPr>
          <w:rFonts w:ascii="Times New Roman" w:hAnsi="Times New Roman" w:eastAsiaTheme="minorEastAsia"/>
          <w:kern w:val="0"/>
          <w:sz w:val="24"/>
          <w:szCs w:val="24"/>
          <w:lang w:val="ru-RU"/>
        </w:rPr>
        <w:t xml:space="preserve">премирования </w:t>
      </w:r>
      <w:r>
        <w:rPr>
          <w:rFonts w:ascii="Times New Roman" w:hAnsi="Times New Roman" w:eastAsiaTheme="minorEastAsia"/>
          <w:sz w:val="24"/>
          <w:szCs w:val="24"/>
          <w:lang w:val="ru-RU"/>
        </w:rPr>
        <w:t xml:space="preserve">крупных зернопроизводящих уездов, запустить горизонтальный межпровинциальный механизм получения районами производства зерна компенсаций от районов его сбыта, функционирующий на основе единого планирования центрального правительства, </w:t>
      </w:r>
      <w:r>
        <w:rPr>
          <w:rFonts w:ascii="Times New Roman" w:hAnsi="Times New Roman" w:eastAsiaTheme="minorEastAsia" w:cstheme="minorBidi"/>
          <w:kern w:val="0"/>
          <w:sz w:val="24"/>
          <w:szCs w:val="24"/>
          <w:lang w:val="ru-RU"/>
        </w:rPr>
        <w:t>поддерживая тем самым активность главных житниц и крестьян, занимающихся выращиванием зерна</w:t>
      </w:r>
      <w:r>
        <w:rPr>
          <w:rFonts w:ascii="Times New Roman" w:hAnsi="Times New Roman" w:eastAsiaTheme="minorEastAsia"/>
          <w:sz w:val="24"/>
          <w:szCs w:val="24"/>
          <w:lang w:val="ru-RU"/>
        </w:rPr>
        <w:t xml:space="preserve">. Развивать многоуровневую систему сельхозстрахования, на основе тщательных исследований разрабатывать указания по форсированию высококачественного развития страхования в аграрном секторе, планируется выделить 54,053 млрд юаней на субсидирование взносов на сельскохозяйственное страхование. Снижать долю субсидирования взносов на сельскохозяйственное страхование уездного уровня для крупных зернопроизводящих уездов. Мы должны интенсивно осуществлять мероприятия по развитию семеноводства, надлежащим образом внедрять меры по выдаче субсидий на приобретение и использование сельхозтехники, развивать социализированные услуги в сфере сельского хозяйства, укреплять поддерживающую роль сельскохозяйственных технологий и оборудования, ускоренными темпами способствуя модернизации аграрного сектора. </w:t>
      </w:r>
      <w:r>
        <w:rPr>
          <w:rFonts w:ascii="Times New Roman" w:hAnsi="Times New Roman" w:eastAsiaTheme="minorEastAsia"/>
          <w:b/>
          <w:i/>
          <w:sz w:val="24"/>
          <w:szCs w:val="24"/>
          <w:lang w:val="ru-RU"/>
        </w:rPr>
        <w:t>Продолжать закреплять и расширять результаты интенсивной ликвидации бедности.</w:t>
      </w:r>
      <w:r>
        <w:rPr>
          <w:rFonts w:ascii="Times New Roman" w:hAnsi="Times New Roman" w:eastAsiaTheme="minorEastAsia"/>
          <w:sz w:val="24"/>
          <w:szCs w:val="24"/>
          <w:lang w:val="ru-RU"/>
        </w:rPr>
        <w:t xml:space="preserve"> Сохраняя неизменную динамику поддержки, мы планируем выделять из центрального бюджета субсидии на эффективную увязку результатов интенсивной ликвидации бедности со стимулированием подъема сельских районов в размере 177 млрд юаней. Эти средства будут в приоритетном порядке использованы для поддержки развития отраслей производства, ориентированных на объединение сельских жителей, стимулирование их производственно-хозяйственной деятельности и увеличение их доходов. Необходимо усиливать поддержку в отношении выделенных групп населения, включая тех выбравшихся из нищеты лиц, которые находятся под мониторингом для предотвращения их возвращения к бедности. В приоритетном порядке оказывать существенную поддержку уездам, являющимся первоочередными объектами помощи, и местам централизованного расселения людей, переехавших из бедных районов. Способствовать созданию многоуровневой системы оказания дифференцированной помощи малообеспеченному сельскому населению и слаборазвитым районам, проводить исследования, нацеленные на разработку мер финансовой поддержки, которые будут осуществляться после истечения переходного периода. </w:t>
      </w:r>
      <w:bookmarkStart w:id="48" w:name="OLE_LINK41"/>
      <w:bookmarkStart w:id="49" w:name="OLE_LINK42"/>
      <w:r>
        <w:rPr>
          <w:rFonts w:ascii="Times New Roman" w:hAnsi="Times New Roman" w:eastAsiaTheme="minorEastAsia"/>
          <w:b/>
          <w:i/>
          <w:sz w:val="24"/>
          <w:szCs w:val="24"/>
          <w:lang w:val="ru-RU"/>
        </w:rPr>
        <w:t>Планомерно стимулировать сельское развитие и</w:t>
      </w:r>
      <w:bookmarkEnd w:id="48"/>
      <w:bookmarkEnd w:id="49"/>
      <w:r>
        <w:rPr>
          <w:rFonts w:ascii="Times New Roman" w:hAnsi="Times New Roman" w:eastAsiaTheme="minorEastAsia"/>
          <w:b/>
          <w:i/>
          <w:sz w:val="24"/>
          <w:szCs w:val="24"/>
          <w:lang w:val="ru-RU"/>
        </w:rPr>
        <w:t xml:space="preserve"> строительство.</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Необходимо совершенствовать</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механизм взаимодействия</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 xml:space="preserve">правительственных инвестиций, финансовых вложений и общественного капитала, способствовать увеличению инвестиций финансовых учреждений в сферы, связанные с сельским хозяйством, селом и крестьянством, формируя архитектонику </w:t>
      </w:r>
      <w:r>
        <w:rPr>
          <w:rFonts w:ascii="Times New Roman" w:hAnsi="Times New Roman" w:eastAsiaTheme="minorEastAsia"/>
          <w:kern w:val="0"/>
          <w:sz w:val="24"/>
          <w:szCs w:val="24"/>
          <w:lang w:val="ru-RU"/>
        </w:rPr>
        <w:t xml:space="preserve">диверсифицированных инвестиций в </w:t>
      </w:r>
      <w:r>
        <w:rPr>
          <w:rFonts w:ascii="Times New Roman" w:hAnsi="Times New Roman" w:eastAsiaTheme="minorEastAsia"/>
          <w:sz w:val="24"/>
          <w:szCs w:val="24"/>
          <w:lang w:val="ru-RU"/>
        </w:rPr>
        <w:t>стимулирование подъема сельских районов. Углубленно осуществлять меры поддержки проектов интегрированного развития сельскохозяйственных производств, стимулировать развитие самобытных производств в сельских районах, расширять каналы увеличения доходов сельских жителей. Поддерживать культивирование нового типа субъектов хозяйствования в аграрном секторе, усиливать формирование системы внедрения агротехнологий в низах. Мы будем на основе единого планирования эффективно использовать денежные средства, направленные в соответствующие сферы, чтобы постепенно повышать уровень целостности инфраструктуры, доступности общественных услуг и удобства жилой среды на селе. Поддерживать регулирование русел малых и средних рек, а также строительство малых водохранилищ, повышать возможности регионов по обеспечению защиты от паводков и наводнений. Продолжать реализовывать меры, нацеленные на поддержку предоставления общего доступа к телекоммуникационным услугам, расширять географический охват Интернетом в сельской местности и отдаленных районах, повышать его степень общедоступности. Оздоровлять систему охраны традиционных сельских поселений и сохранять самобытный облик деревень. Поддерживать развитие сельского коллективного хозяйства нового типа, продолжать проводить пилотные проекты по реализации комплексной реформы в сельской местности.</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b/>
          <w:sz w:val="24"/>
          <w:szCs w:val="24"/>
          <w:lang w:val="ru-RU"/>
        </w:rPr>
        <w:t xml:space="preserve">Оказывать поддержку в осуществлении урбанизации нового типа и согласованном развитии регионов. </w:t>
      </w:r>
      <w:r>
        <w:rPr>
          <w:rFonts w:ascii="Times New Roman" w:hAnsi="Times New Roman" w:eastAsiaTheme="minorEastAsia"/>
          <w:b/>
          <w:i/>
          <w:sz w:val="24"/>
          <w:szCs w:val="24"/>
          <w:lang w:val="ru-RU"/>
        </w:rPr>
        <w:t>Основательно продвигать урбанизацию нового типа.</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 xml:space="preserve">Из центрального бюджета планируется выделить 42 млрд юаней в качестве премиальных средств для стимулирования работы по переводу мигрирующего сельского населения в состав городского, что на 2 млрд юаней больше по сравнению с прошлогодним показателем. Эти средства будут направлены на наращивание потенциала местных правительств в финансовом обеспечении выполнения вышеуказанной работы. Необходимо ориентировать органы власти в местах постоянного проживания мигрирующего сельского населения на увеличение инвестиций в предоставление основных видов общественных услуг, способствовать эффективному разрешению проблем, вызывающих у мигрирующего сельского населения наибольшие озабоченности, таких как обеспечение доступности обязательного образования для детей, жилищное обеспечение и участие в социальном страховании, постепенно добиваться того, чтобы постоянно проживающие в городах и поселках, но не имеющие прописки лица получили равный доступ к местным основным общественным услугам. Оказывать поддержку в осуществлении мероприятий по городской реновации, способствовать реконструкции старых жилых комплексов, ветхих и аварийных домов </w:t>
      </w:r>
      <w:r>
        <w:rPr>
          <w:rFonts w:ascii="Times New Roman" w:hAnsi="Times New Roman" w:eastAsiaTheme="minorEastAsia"/>
          <w:kern w:val="0"/>
          <w:sz w:val="24"/>
          <w:szCs w:val="24"/>
          <w:lang w:val="ru-RU"/>
        </w:rPr>
        <w:t>в городах и поселках,</w:t>
      </w:r>
      <w:r>
        <w:rPr>
          <w:rFonts w:ascii="Times New Roman" w:hAnsi="Times New Roman" w:eastAsiaTheme="minorEastAsia"/>
          <w:sz w:val="24"/>
          <w:szCs w:val="24"/>
          <w:lang w:val="ru-RU"/>
        </w:rPr>
        <w:t xml:space="preserve"> обновлению и реконструкции подземных коммуникаций, а также укреплению городской канализационной и противопаводковой систем, создавая тем самым благоустроенные, устойчивые и «умные» города. Мы будем поддерживать расширение предложения социального жилья, продолжать осуществлять строительство социального жилья и проводить выкуп </w:t>
      </w:r>
      <w:r>
        <w:rPr>
          <w:rFonts w:ascii="Times New Roman" w:hAnsi="Times New Roman" w:eastAsiaTheme="minorEastAsia"/>
          <w:kern w:val="0"/>
          <w:sz w:val="24"/>
          <w:szCs w:val="24"/>
          <w:lang w:val="ru-RU"/>
        </w:rPr>
        <w:t xml:space="preserve">нереализованного товарного жилья </w:t>
      </w:r>
      <w:r>
        <w:rPr>
          <w:rFonts w:ascii="Times New Roman" w:hAnsi="Times New Roman" w:eastAsiaTheme="minorEastAsia"/>
          <w:sz w:val="24"/>
          <w:szCs w:val="24"/>
          <w:lang w:val="ru-RU"/>
        </w:rPr>
        <w:t>в соответствии с потребностями рынка, удовлетворять жилищные потребности новых городских жителей, молодежи и других категорий населения.</w:t>
      </w:r>
      <w:r>
        <w:rPr>
          <w:rFonts w:ascii="Times New Roman" w:hAnsi="Times New Roman" w:eastAsiaTheme="minorEastAsia"/>
          <w:i/>
          <w:sz w:val="24"/>
          <w:szCs w:val="24"/>
          <w:lang w:val="ru-RU"/>
        </w:rPr>
        <w:t xml:space="preserve"> </w:t>
      </w:r>
      <w:r>
        <w:rPr>
          <w:rFonts w:ascii="Times New Roman" w:hAnsi="Times New Roman" w:eastAsiaTheme="minorEastAsia"/>
          <w:b/>
          <w:i/>
          <w:sz w:val="24"/>
          <w:szCs w:val="24"/>
          <w:lang w:val="ru-RU"/>
        </w:rPr>
        <w:t xml:space="preserve">Стимулировать согласованное развитие регионов. </w:t>
      </w:r>
      <w:r>
        <w:rPr>
          <w:rFonts w:ascii="Times New Roman" w:hAnsi="Times New Roman" w:eastAsiaTheme="minorEastAsia"/>
          <w:sz w:val="24"/>
          <w:szCs w:val="24"/>
          <w:lang w:val="ru-RU"/>
        </w:rPr>
        <w:t xml:space="preserve">Следует комплексно использовать трансфертные платежи, правительственные облигации, налогообложение и другие инструменты политики для надлежащего осуществления стратегии согласованного развития регионов, важнейших стратегий регионального развития и стратегии развития зон с теми или иными основополагающими функциями, чтобы обеспечить дальнейшую оптимизацию пространственной структуры экономического развития. Мы будем оказывать усиленную поддержку в реализации важнейших межрегиональных проектов, способствовать реализации таких важнейших стратегий, как согласованное развитие региона Пекин–Тяньцзинь–Хэбэй, развитие экономического пояса реки Янцзы, строительство региона «Большой залив» Гуандун–Сянган–Аомэнь, интегрированное развитие региона дельты реки Янцзы, защита экологии и высококачественное развитие бассейна реки Хуанхэ. Необходимо продвигать высококачественное строительство нового района Сюнъань по высоким стандартам. Стимулировать строительство экономического кольца в районе Чэнду–Чунцин. Мы будем продолжать выделять из центрального бюджета </w:t>
      </w:r>
      <w:r>
        <w:rPr>
          <w:rFonts w:ascii="Times New Roman" w:hAnsi="Times New Roman" w:eastAsiaTheme="minorEastAsia"/>
          <w:kern w:val="0"/>
          <w:sz w:val="24"/>
          <w:szCs w:val="24"/>
          <w:lang w:val="ru-RU"/>
        </w:rPr>
        <w:t xml:space="preserve">дотационные средства </w:t>
      </w:r>
      <w:r>
        <w:rPr>
          <w:rFonts w:ascii="Times New Roman" w:hAnsi="Times New Roman" w:eastAsiaTheme="minorEastAsia"/>
          <w:sz w:val="24"/>
          <w:szCs w:val="24"/>
          <w:lang w:val="ru-RU"/>
        </w:rPr>
        <w:t xml:space="preserve">местным бюджетам для оказания поддержки в ускорении развития </w:t>
      </w:r>
      <w:r>
        <w:rPr>
          <w:rFonts w:ascii="Times New Roman" w:hAnsi="Times New Roman" w:eastAsiaTheme="minorEastAsia"/>
          <w:kern w:val="0"/>
          <w:sz w:val="24"/>
          <w:szCs w:val="24"/>
          <w:lang w:val="ru-RU"/>
        </w:rPr>
        <w:t>бывших революционных опорных баз, национальных районов и районов с истощенными ресурсами, способствовать высококачественному развитию окраинных районов, содействовать подъему приграничных районов и повышению благосостояния местного населения, способствовать укреплению стабильности в приграничных районах. Последовательно продвигать строительство нового коридора смешанных перевозок «суша–море» в западном регионе страны, поддерживать различные регионы в углубленной интеграции в совместную реализацию инициативы «Пояс и путь».</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b/>
          <w:sz w:val="24"/>
          <w:szCs w:val="24"/>
          <w:lang w:val="ru-RU"/>
        </w:rPr>
        <w:t xml:space="preserve">Оказывать поддержку в экоцивилизационном строительстве. </w:t>
      </w:r>
      <w:r>
        <w:rPr>
          <w:rFonts w:ascii="Times New Roman" w:hAnsi="Times New Roman" w:eastAsiaTheme="minorEastAsia"/>
          <w:b/>
          <w:i/>
          <w:sz w:val="24"/>
          <w:szCs w:val="24"/>
          <w:lang w:val="ru-RU"/>
        </w:rPr>
        <w:t>Совершенствовать систему финансовой политики, касающейся природных ресурсов и окружающей среды.</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Необходимо в рамках содействия последовательному внедрению механизма</w:t>
      </w:r>
      <w:bookmarkStart w:id="50" w:name="OLE_LINK40"/>
      <w:bookmarkStart w:id="51" w:name="OLE_LINK39"/>
      <w:r>
        <w:rPr>
          <w:rFonts w:ascii="Times New Roman" w:hAnsi="Times New Roman" w:eastAsiaTheme="minorEastAsia"/>
          <w:sz w:val="24"/>
          <w:szCs w:val="24"/>
          <w:lang w:val="ru-RU"/>
        </w:rPr>
        <w:t xml:space="preserve"> горизонтальной компенсации </w:t>
      </w:r>
      <w:bookmarkEnd w:id="50"/>
      <w:bookmarkEnd w:id="51"/>
      <w:r>
        <w:rPr>
          <w:rFonts w:ascii="Times New Roman" w:hAnsi="Times New Roman" w:eastAsiaTheme="minorEastAsia"/>
          <w:sz w:val="24"/>
          <w:szCs w:val="24"/>
          <w:lang w:val="ru-RU"/>
        </w:rPr>
        <w:t xml:space="preserve">за природоохранные затраты планомерно способствовать его введению применительно к основным течениям крупных рек, ориентировать местные правительства на интенсивную и основательную реализацию данного механизма. Предстоит стимулировать распределение на основании рыночных принципов факторов производства, связанных с природными ресурсами и окружающей средой. Изучить возможность совершенствования системы платного использования прав на выбросы загрязняющих веществ и торговли эмиссионными квотами, а также системы управления компенсациями за ущерб, нанесенный экологической среде. С учетом местных условий изыскивать пути реализации ценностей различных видов экологических благ. Разрабатывать концепцию суверенных «зеленых» облигаций, способствовать их выпуску в подходящее время. </w:t>
      </w:r>
      <w:r>
        <w:rPr>
          <w:rFonts w:ascii="Times New Roman" w:hAnsi="Times New Roman" w:eastAsiaTheme="minorEastAsia"/>
          <w:b/>
          <w:i/>
          <w:sz w:val="24"/>
          <w:szCs w:val="24"/>
          <w:lang w:val="ru-RU"/>
        </w:rPr>
        <w:t>Усиливать меры по охране и восстановлению экосистем.</w:t>
      </w:r>
      <w:r>
        <w:rPr>
          <w:rFonts w:ascii="Times New Roman" w:hAnsi="Times New Roman" w:eastAsiaTheme="minorEastAsia"/>
          <w:sz w:val="24"/>
          <w:szCs w:val="24"/>
          <w:lang w:val="ru-RU"/>
        </w:rPr>
        <w:t xml:space="preserve"> Предполагается выделить из центрального бюджета трансфертные платежи местам в размере 120,5 млрд юаней на нужды развития зон с важными экологическими функциями, прирост составит 7,5%. В рамках продвижения реализации программы по охране и созданию «прекрасных рек и озер», а также продолжения поддержки борьбы за чистоту неба, воды и почвы, из центрального бюджета планируется выделить целевые средства на предотвращение и устранение загрязнения атмосферы, воды и почвы в размере 34 млрд, 26,7 млрд и 4,4 млрд юаней соответственно. Следует интенсивно реализовывать наиболее важные проекты по интегрированной защите и восстановлению экологии горных районов, речной и озерной среды, лесных территорий, пахотных земель, степных и песчаных пространств, по восстановлению экосистем в районе заброшенных рудников, по защите и восстановлению морских экосистем, по осуществлению демонстрационных мероприятий по озеленению территории страны и т.д. Важно продвигать работу как по созданию системы охраняемых природных территорий, основу которой составляют национальные парки, так и по защите биоразнообразия. Способствовать достижению важнейших результатов в реализации знаковых проектов в рамках программы по созданию защитных лесных насаждений в северо-западном, северном и северо-восточном регионах Китая. Осуществлять политику премирования проектов по «коммерциализации экологических ресурсов и экологизации производств». </w:t>
      </w:r>
      <w:r>
        <w:rPr>
          <w:rFonts w:ascii="Times New Roman" w:hAnsi="Times New Roman" w:eastAsiaTheme="minorEastAsia"/>
          <w:b/>
          <w:i/>
          <w:sz w:val="24"/>
          <w:szCs w:val="24"/>
          <w:lang w:val="ru-RU"/>
        </w:rPr>
        <w:t>Планомерно содействовать достижению пика выбросов углерода и углеродной нейтральности.</w:t>
      </w:r>
      <w:r>
        <w:rPr>
          <w:rFonts w:ascii="Times New Roman" w:hAnsi="Times New Roman" w:eastAsiaTheme="minorEastAsia"/>
          <w:b/>
          <w:sz w:val="24"/>
          <w:szCs w:val="24"/>
          <w:lang w:val="ru-RU"/>
        </w:rPr>
        <w:t xml:space="preserve"> </w:t>
      </w:r>
      <w:r>
        <w:rPr>
          <w:rFonts w:ascii="Times New Roman" w:hAnsi="Times New Roman" w:eastAsiaTheme="minorEastAsia"/>
          <w:sz w:val="24"/>
          <w:szCs w:val="24"/>
          <w:lang w:val="ru-RU"/>
        </w:rPr>
        <w:t>Следует усиливать поддержку разработки, применения и распространения передовых зеленых и низкоуглеродных технологий, способствовать зеленой и низкоуглеродной трансформации ключевых отраслей и сфер. Всеми силами поддерживать развитие возобновляемых источников энергии, ускорять процесс создания энергетической системы нового типа. Мы будем стимулировать дальнейшее распространение автомобилей на новых источниках энергии, улучшать зарядную инфраструктуру и объекты по замене аккумуляторов, содействовать переходу к использованию электромобилей в сфере городских общественных услуг. Оказывать поддержку созданию системы повторного использования изношенных материалов, содействовать утилизации вторичных ресурсов. Улучшать политику в области правительственных закупок экологически чистой продукции, совершенствовать стандарты закупок, расширять соответствующие сферы и масштабы, поощрять увеличение предложения и потребления такой продукции. Продвигать работу по созданию всекитайского рынка торговли квотами на выбросы углерода.</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b/>
          <w:sz w:val="24"/>
          <w:szCs w:val="24"/>
          <w:lang w:val="ru-RU"/>
        </w:rPr>
        <w:t>Оказывать поддержку в оборонной, дипломатической и политико-правовой работе.</w:t>
      </w:r>
      <w:r>
        <w:rPr>
          <w:rFonts w:ascii="Times New Roman" w:hAnsi="Times New Roman" w:eastAsiaTheme="minorEastAsia"/>
          <w:sz w:val="24"/>
          <w:szCs w:val="24"/>
          <w:lang w:val="ru-RU"/>
        </w:rPr>
        <w:t xml:space="preserve"> Мы должны, всесторонне претворяя в жизнь идеи Си Цзиньпина об укреплении армии, усиливать финансовое обеспечение и политические гарантии, содействовать модернизации национальной обороны и вооруженных сил, укреплять интегрированную государственную стратегическую систему и наращивать соответствующий потенциал, способствовать непрерывному продвижению вперед дела укрепления армии в новую эпоху. Оказывая поддержку работе по устройству и обеспечению занятости демобилизованных военнослужащих, продолжать повышать нормы пособий и дотаций для льготных категорий населения. Необходимо поставить финансовую работу на службу дипломатии мировой державы с китайской спецификой, углублять международные обмены и сотрудничество в финансово-экономической сфере, поддерживать расширение открытости внешнему миру на высоком уровне. Принимать активное участие в реформировании и развитии системы глобального экономического управления, способствовать углубленной и основательной реализации инициативы по глобальному развитию, инициативы по глобальной безопасности и инициативы глобальной цивилизации, твердо защищать суверенитет, безопасность и интересы развития государства. Предстоит всесторонне претворять в жизнь всеобъемлющую концепцию национальной безопасности, стимулировать модернизацию системы и потенциала в сфере обеспечения национальной безопасности, усиливать финансовое обеспечение политико-правовых органов в исполнении ими служебных обязанностей, улучшать систему социального управления, а также поддерживать создание системы предоставления социально-правовых услуг. Посредством укрепления низовых организаций, фундаментальной работы и базового потенциала действенным образом способствовать формированию новой архитектоники безопасности, всемерно содействовать построению «Спокойного Китая» на более высоком уровне.</w:t>
      </w:r>
    </w:p>
    <w:p>
      <w:pPr>
        <w:adjustRightInd w:val="0"/>
        <w:snapToGrid w:val="0"/>
        <w:spacing w:line="300" w:lineRule="auto"/>
        <w:ind w:firstLine="420"/>
        <w:rPr>
          <w:rFonts w:ascii="Times New Roman" w:hAnsi="Times New Roman" w:eastAsiaTheme="minorEastAsia"/>
          <w:b/>
          <w:sz w:val="24"/>
          <w:szCs w:val="24"/>
          <w:lang w:val="ru-RU"/>
        </w:rPr>
      </w:pPr>
      <w:r>
        <w:rPr>
          <w:rFonts w:ascii="Times New Roman" w:hAnsi="Times New Roman" w:eastAsiaTheme="minorEastAsia"/>
          <w:b/>
          <w:sz w:val="24"/>
          <w:szCs w:val="24"/>
          <w:lang w:val="ru-RU"/>
        </w:rPr>
        <w:t>4. Прогнозируемые доходы и планируемые расходы обычного общественного бюджета на 2025 год</w:t>
      </w:r>
    </w:p>
    <w:p>
      <w:pPr>
        <w:adjustRightInd w:val="0"/>
        <w:snapToGrid w:val="0"/>
        <w:spacing w:line="300" w:lineRule="auto"/>
        <w:ind w:firstLine="420"/>
        <w:rPr>
          <w:rFonts w:ascii="Times New Roman" w:hAnsi="Times New Roman" w:eastAsiaTheme="minorEastAsia"/>
          <w:b/>
          <w:sz w:val="24"/>
          <w:szCs w:val="24"/>
          <w:lang w:val="ru-RU"/>
        </w:rPr>
      </w:pPr>
      <w:r>
        <w:rPr>
          <w:rFonts w:ascii="Times New Roman" w:hAnsi="Times New Roman" w:eastAsiaTheme="minorEastAsia"/>
          <w:b/>
          <w:sz w:val="24"/>
          <w:szCs w:val="24"/>
          <w:lang w:val="ru-RU"/>
        </w:rPr>
        <w:t>1) Центральный обычный общественный бюджет</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Доходы центрального обычного общественного бюджета планируются в размере 9696 млрд юаней, что на 3,5% меньше фактического показателя 2024 года (за вычетом единовременных факторов рост доходов составит 2,1%). С учетом 100 млрд юаней, перечисленных из фонда стабилизации и регулирования центрального бюджета, и 90 млрд юаней из бюджета хозяйствования центральным госкапиталом, общий объем бюджетных доходов достигнет 9886 млрд юаней. Расходы центрального обычного общественного бюджета составят 14746 млрд юаней с увеличением на 4,5%. Сопоставление соответствующих доходов и расходов показывает дефицит центрального бюджета в размере 4860 млрд юаней, который превысит показатель 2024 года на 1520 млрд юаней и будет покрываться за счет выпуска гособлигаций.</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В 2025 году расходные обязательства центрального обычного общественного бюджета включают в себя собственные расходы центрального бюджета, трансфертные платежи местным бюджетам и резервные средства центрального бюджета.</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fldChar w:fldCharType="begin"/>
      </w:r>
      <w:r>
        <w:rPr>
          <w:rFonts w:ascii="Times New Roman" w:hAnsi="Times New Roman" w:eastAsiaTheme="minorEastAsia"/>
          <w:sz w:val="24"/>
          <w:szCs w:val="24"/>
          <w:lang w:val="ru-RU"/>
        </w:rPr>
        <w:instrText xml:space="preserve"> = 1 \* GB3 </w:instrText>
      </w:r>
      <w:r>
        <w:rPr>
          <w:rFonts w:ascii="Times New Roman" w:hAnsi="Times New Roman" w:eastAsiaTheme="minorEastAsia"/>
          <w:sz w:val="24"/>
          <w:szCs w:val="24"/>
          <w:lang w:val="ru-RU"/>
        </w:rPr>
        <w:fldChar w:fldCharType="separate"/>
      </w:r>
      <w:r>
        <w:rPr>
          <w:rFonts w:hint="eastAsia" w:ascii="宋体" w:hAnsi="宋体" w:cs="宋体"/>
          <w:sz w:val="24"/>
          <w:szCs w:val="24"/>
          <w:lang w:val="ru-RU"/>
        </w:rPr>
        <w:t>①</w:t>
      </w:r>
      <w:r>
        <w:rPr>
          <w:rFonts w:ascii="Times New Roman" w:hAnsi="Times New Roman" w:eastAsiaTheme="minorEastAsia"/>
          <w:sz w:val="24"/>
          <w:szCs w:val="24"/>
          <w:lang w:val="ru-RU"/>
        </w:rPr>
        <w:fldChar w:fldCharType="end"/>
      </w:r>
      <w:r>
        <w:rPr>
          <w:rFonts w:ascii="Times New Roman" w:hAnsi="Times New Roman" w:eastAsiaTheme="minorEastAsia"/>
          <w:sz w:val="24"/>
          <w:szCs w:val="24"/>
          <w:lang w:val="ru-RU"/>
        </w:rPr>
        <w:t xml:space="preserve"> Собственные расходы центрального бюджета составят 4354,5 млрд юаней с увеличением на 6,9%, за вычетом расходов на обеспечение приоритетных направлений будет намечен нулевой рост. Твердо стоя на позиции обеспечения выплат по одним статьям и сокращения по другим, неукоснительно реализовывая требования о соблюдении режима экономии в партийных и правительственных органах, необходимо строго ограничить обычные расходы, в приоритетном порядке направить средства на обеспечение расходов на национальную оборону и вооруженную милицию, на образование, науку и технику, на создание центральных резервов материальных ресурсов, а также на выпуск гособлигаций и выплату процентов по ним. Конкретные показатели собственных расходов центрального обычного общественного бюджета по основным статьям: расходы на внешнеполитическую деятельность достигнут 64,506 млрд юаней с увеличением на 8,4%; расходы на национальную оборону составят 1784,665 млрд юаней с увеличением на 7,2%; расходы на обеспечение общественной безопасности – 242,828 млрд юаней с увеличением на 7,3 %; расходы на образование – 174,443 млрд юаней с увеличением на 5%; расходы на науку и технику – 398,119 млрд юаней с увеличением на 10%; расходы на создание резервов зерновых, масла и других материальных ресурсов – 131,66 млрд юаней с увеличением на 6,1%; расходы на выплату процентов по долговым обязательствам – 834,55 млрд юаней с увеличением на 10,2%.</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fldChar w:fldCharType="begin"/>
      </w:r>
      <w:r>
        <w:rPr>
          <w:rFonts w:ascii="Times New Roman" w:hAnsi="Times New Roman" w:eastAsiaTheme="minorEastAsia"/>
          <w:sz w:val="24"/>
          <w:szCs w:val="24"/>
          <w:lang w:val="ru-RU"/>
        </w:rPr>
        <w:instrText xml:space="preserve"> = 2 \* GB3 </w:instrText>
      </w:r>
      <w:r>
        <w:rPr>
          <w:rFonts w:ascii="Times New Roman" w:hAnsi="Times New Roman" w:eastAsiaTheme="minorEastAsia"/>
          <w:sz w:val="24"/>
          <w:szCs w:val="24"/>
          <w:lang w:val="ru-RU"/>
        </w:rPr>
        <w:fldChar w:fldCharType="separate"/>
      </w:r>
      <w:r>
        <w:rPr>
          <w:rFonts w:hint="eastAsia" w:ascii="宋体" w:hAnsi="宋体" w:cs="宋体"/>
          <w:sz w:val="24"/>
          <w:szCs w:val="24"/>
          <w:lang w:val="ru-RU"/>
        </w:rPr>
        <w:t>②</w:t>
      </w:r>
      <w:r>
        <w:rPr>
          <w:rFonts w:ascii="Times New Roman" w:hAnsi="Times New Roman" w:eastAsiaTheme="minorEastAsia"/>
          <w:sz w:val="24"/>
          <w:szCs w:val="24"/>
          <w:lang w:val="ru-RU"/>
        </w:rPr>
        <w:fldChar w:fldCharType="end"/>
      </w:r>
      <w:r>
        <w:rPr>
          <w:rFonts w:ascii="Times New Roman" w:hAnsi="Times New Roman" w:eastAsiaTheme="minorEastAsia"/>
          <w:sz w:val="24"/>
          <w:szCs w:val="24"/>
          <w:lang w:val="ru-RU"/>
        </w:rPr>
        <w:t xml:space="preserve"> Трансфертные платежи местным бюджетам составят 10341,5 млрд юаней, по сопоставимым стандартам расчета увеличение составит 8,4% за вычетом единовременных факторов, таких как дотации на проведение восстановительных работ после природных катаклизмов и на наращивание потенциала в области предупреждения стихийных бедствий, минимизации их последствий и оказания помощи пострадавшим, которые были обеспечены средствами, привлеченными за счет дополнительного выпуска гособлигаций в 2023 году и переведенными в бюджет 2024 года.</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fldChar w:fldCharType="begin"/>
      </w:r>
      <w:r>
        <w:rPr>
          <w:rFonts w:ascii="Times New Roman" w:hAnsi="Times New Roman" w:eastAsiaTheme="minorEastAsia"/>
          <w:sz w:val="24"/>
          <w:szCs w:val="24"/>
          <w:lang w:val="ru-RU"/>
        </w:rPr>
        <w:instrText xml:space="preserve"> = 3 \* GB3 </w:instrText>
      </w:r>
      <w:r>
        <w:rPr>
          <w:rFonts w:ascii="Times New Roman" w:hAnsi="Times New Roman" w:eastAsiaTheme="minorEastAsia"/>
          <w:sz w:val="24"/>
          <w:szCs w:val="24"/>
          <w:lang w:val="ru-RU"/>
        </w:rPr>
        <w:fldChar w:fldCharType="separate"/>
      </w:r>
      <w:r>
        <w:rPr>
          <w:rFonts w:hint="eastAsia" w:ascii="宋体" w:hAnsi="宋体" w:cs="宋体"/>
          <w:sz w:val="24"/>
          <w:szCs w:val="24"/>
          <w:lang w:val="ru-RU"/>
        </w:rPr>
        <w:t>③</w:t>
      </w:r>
      <w:r>
        <w:rPr>
          <w:rFonts w:ascii="Times New Roman" w:hAnsi="Times New Roman" w:eastAsiaTheme="minorEastAsia"/>
          <w:sz w:val="24"/>
          <w:szCs w:val="24"/>
          <w:lang w:val="ru-RU"/>
        </w:rPr>
        <w:fldChar w:fldCharType="end"/>
      </w:r>
      <w:r>
        <w:rPr>
          <w:rFonts w:ascii="Times New Roman" w:hAnsi="Times New Roman" w:eastAsiaTheme="minorEastAsia"/>
          <w:sz w:val="24"/>
          <w:szCs w:val="24"/>
          <w:lang w:val="ru-RU"/>
        </w:rPr>
        <w:t xml:space="preserve"> Резервные средства центрального бюджета составят 50 млрд юаней и останутся на уровне 2024 года. При исполнении бюджета эти средства в соответствии с их реальным назначением будут зачислены в статьи собственных расходов центрального бюджета и трансфертных платежей местным бюджетам.</w:t>
      </w:r>
    </w:p>
    <w:p>
      <w:pPr>
        <w:adjustRightInd w:val="0"/>
        <w:snapToGrid w:val="0"/>
        <w:spacing w:line="300" w:lineRule="auto"/>
        <w:ind w:firstLine="420"/>
        <w:rPr>
          <w:rFonts w:ascii="Times New Roman" w:hAnsi="Times New Roman" w:eastAsiaTheme="minorEastAsia"/>
          <w:b/>
          <w:sz w:val="24"/>
          <w:szCs w:val="24"/>
          <w:lang w:val="ru-RU"/>
        </w:rPr>
      </w:pPr>
      <w:r>
        <w:rPr>
          <w:rFonts w:ascii="Times New Roman" w:hAnsi="Times New Roman" w:eastAsiaTheme="minorEastAsia"/>
          <w:b/>
          <w:sz w:val="24"/>
          <w:szCs w:val="24"/>
          <w:lang w:val="ru-RU"/>
        </w:rPr>
        <w:t>2) Местные обычные общественные бюджеты</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Собственные доходы местных обычных общественных бюджетов составят 12289 млрд юаней и увеличатся на 3%. С учетом трансфертных платежей из центрального бюджета в местные в размере 10341,5 млрд юаней, прочих перечисленных в местные бюджеты средств, переходящих остатков и неиспользованных средств в размере 1865,5 млрд юаней, общий объем доходов достигнет 24496 млрд юаней. Расходы местных обычных общественных бюджетов планируются в размере 25296 млрд юаней, прирост составит 3,7%. Дефицит местных бюджетов составит 800 млрд юаней с увеличением на 80 млрд юаней по сравнению с показателем 2024 года и будет покрываться за счет выпуска обычных облигаций местных правительств.</w:t>
      </w:r>
    </w:p>
    <w:p>
      <w:pPr>
        <w:adjustRightInd w:val="0"/>
        <w:snapToGrid w:val="0"/>
        <w:spacing w:line="300" w:lineRule="auto"/>
        <w:ind w:firstLine="420"/>
        <w:rPr>
          <w:rFonts w:ascii="Times New Roman" w:hAnsi="Times New Roman" w:eastAsiaTheme="minorEastAsia"/>
          <w:b/>
          <w:sz w:val="24"/>
          <w:szCs w:val="24"/>
          <w:lang w:val="ru-RU"/>
        </w:rPr>
      </w:pPr>
      <w:r>
        <w:rPr>
          <w:rFonts w:ascii="Times New Roman" w:hAnsi="Times New Roman" w:eastAsiaTheme="minorEastAsia"/>
          <w:b/>
          <w:sz w:val="24"/>
          <w:szCs w:val="24"/>
          <w:lang w:val="ru-RU"/>
        </w:rPr>
        <w:t>3) Обычный общественный бюджет по всей стране</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По результатам суммирования центрального и местных бюджетов доходы обычного общественного бюджета по всей стране достигнут 21985 млрд юаней с увеличением на 0,1%. В том числе налоговые поступления увеличатся на 3,7% и составят 18146 млрд юаней; неналоговые поступления составят 3839 млрд юаней со снижением на 14,2%, что главным образом обусловлено уменьшением единовременных доходов. С учетом перечисленных средств, переходящих остатков и неиспользованных средств в размере 2055,5 млрд юаней общий объем доходов достигнет 24040,5 млрд юаней. Расходы обычного общественного бюджета по всей стране планируются в размере 29700,5 млрд юаней (включая резервные средства центрального бюджета в размере 50 млрд юаней), их увеличение составит 4,4%. Дефицит обычного общественного бюджета по всей стране планируется в размере 5660 млрд юаней, что на 1600 млрд юаней больше показателя 2024 года.</w:t>
      </w:r>
    </w:p>
    <w:p>
      <w:pPr>
        <w:adjustRightInd w:val="0"/>
        <w:snapToGrid w:val="0"/>
        <w:spacing w:line="300" w:lineRule="auto"/>
        <w:ind w:firstLine="420"/>
        <w:rPr>
          <w:rFonts w:ascii="Times New Roman" w:hAnsi="Times New Roman" w:eastAsiaTheme="minorEastAsia"/>
          <w:b/>
          <w:sz w:val="24"/>
          <w:szCs w:val="24"/>
          <w:lang w:val="ru-RU"/>
        </w:rPr>
      </w:pPr>
      <w:r>
        <w:rPr>
          <w:rFonts w:ascii="Times New Roman" w:hAnsi="Times New Roman" w:eastAsiaTheme="minorEastAsia"/>
          <w:b/>
          <w:sz w:val="24"/>
          <w:szCs w:val="24"/>
          <w:lang w:val="ru-RU"/>
        </w:rPr>
        <w:t>5. Прогнозируемые доходы и планируемые расходы бюджета правительственных фондов на 2025 год</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Доходы бюджета центральных правительственных фондов оцениваются в размере 508,378 млрд юаней с увеличением на 7,4%. С учетом переходящих остатков бюджета предыдущего года в размере 38,497 млрд юаней, доходов от выпуска сверхдолгосрочных специальных государственных облигаций в размере 1300 млрд юаней, доходов от выпуска специальных государственных облигаций для докапитализации центральных финансовых учреждений в размере 500 млрд юаней, общая сумма поступлений в данный бюджет достигнет 2346,875 млрд юаней. Общий объем выплат из бюджета центральных правительственных фондов составит 2346,875 млрд юаней, в том числе собственные расходы бюджета – 1078,772 млрд юаней, трансфертные платежи в местные фонды – 1268,103 млрд юаней.</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Собственные доходы бюджетов местных правительственных фондов достигнут 5741,531 млрд юаней с увеличением на 0.1%. С учетом трансфертных платежей из бюджета центральных правительственных фондов в данные бюджеты в размере 1268,103 млрд юаней, доходов от выпуска целевых облигаций местных правительств на сумму 4400 млрд юаней, общая сумма поступлений в данные бюджеты достигнет 11409,634 млрд юаней. Общие выплаты из бюджетов местных правительственных фондов составят 11409,634 млрд юаней и возрастут на 17,9%.</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По результатам суммирования центрального и местных бюджетов доходы бюджета правительственных фондов по всей стране достигнут 6249,909 млрд юаней, а увеличение составит 0,7%. С учетом переходящих остатков бюджета предыдущего года в размере 38,497 млрд юаней, доходов от выпуска сверхдолгосрочных специальных государственных облигаций в размере 1300 млрд юаней, доходов от выпуска специальных государственных облигаций для докапитализации центральных финансовых учреждений в размере 500 млрд юаней, доходов от выпуска целевых облигаций местных правительств в размере 4400 млрд юаней, общая сумма поступлений в бюджет правительственных фондов по всей стране достигнет 12488,406 млрд юаней. Выплаты из данного бюджета составят 12488,406 млрд юаней и увеличатся на 23,1%.</w:t>
      </w:r>
    </w:p>
    <w:p>
      <w:pPr>
        <w:adjustRightInd w:val="0"/>
        <w:snapToGrid w:val="0"/>
        <w:spacing w:line="300" w:lineRule="auto"/>
        <w:ind w:firstLine="420"/>
        <w:rPr>
          <w:rFonts w:ascii="Times New Roman" w:hAnsi="Times New Roman" w:eastAsiaTheme="minorEastAsia"/>
          <w:b/>
          <w:sz w:val="24"/>
          <w:szCs w:val="24"/>
          <w:lang w:val="ru-RU"/>
        </w:rPr>
      </w:pPr>
      <w:r>
        <w:rPr>
          <w:rFonts w:ascii="Times New Roman" w:hAnsi="Times New Roman" w:eastAsiaTheme="minorEastAsia"/>
          <w:b/>
          <w:sz w:val="24"/>
          <w:szCs w:val="24"/>
          <w:lang w:val="ru-RU"/>
        </w:rPr>
        <w:t>6. Прогнозируемые доходы и планируемые расходы бюджета хозяйствования госкапиталом на 2025 год</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Доходы бюджета хозяйствования центральным госкапиталом ожидаются в размере 225,029 млрд юаней со снижением на 0.1%. С учетом переходящих остатков бюджета предыдущего года в размере 5,42 млрд юаней общая сумма поступлений в данный бюджет достигнет 230,449 млрд юаней. Выплаты из бюджета хозяйствования центральным госкапиталом планируются в размере 140,449 млрд юаней со снижением на 9,7%, в том числе собственные расходы бюджета составят 137,063 млрд юаней, трансфертные платежи в местные бюджеты – 3,386 млрд юаней. Сумма средств, которые будут перечислены в центральный обычный общественный бюджет, составит 90 млрд юаней.</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 xml:space="preserve">Собственные доходы бюджетов хозяйствования местным госкапиталом составят 407,775 млрд юаней и снизятся на 10%, что в основном обусловлено сокращением прибыли местных госпредприятий в 2024 году. С учетом трансфертных платежей из бюджета хозяйствования центральным госкапиталом в размере 3,386 млрд юаней, общий объем поступлений в бюджеты хозяйствования местным госкапиталом достигнет 411,161 млрд юаней. Выплаты из данных бюджетов планируются в размере 145,245 млрд юаней со снижением на 10%. Сумма средств, которые будут перечислены в местные обычные общественные бюджеты, составит 265,916 млрд юаней. </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По итогам суммирования центрального и местных бюджетов общие доходы бюджета хозяйствования госкапиталом по всей стране составят 632,804 млрд юаней со снижением на 6,7%. С учетом переходящих остатков бюджета предыдущего года в размере 5,42 млрд юаней общий объем поступлений в данный бюджет достигнет 638,224 млрд юаней. Общий объем выплат из данного бюджета составит 282,308 млрд юаней с уменьшением на 9,8%. Сумма средств, которые будут перечислены в обычные общественные бюджеты, составит 355,916 млрд юаней.</w:t>
      </w:r>
    </w:p>
    <w:p>
      <w:pPr>
        <w:adjustRightInd w:val="0"/>
        <w:snapToGrid w:val="0"/>
        <w:spacing w:line="300" w:lineRule="auto"/>
        <w:ind w:firstLine="420"/>
        <w:rPr>
          <w:rFonts w:ascii="Times New Roman" w:hAnsi="Times New Roman" w:eastAsiaTheme="minorEastAsia"/>
          <w:b/>
          <w:sz w:val="24"/>
          <w:szCs w:val="24"/>
          <w:lang w:val="ru-RU"/>
        </w:rPr>
      </w:pPr>
      <w:r>
        <w:rPr>
          <w:rFonts w:ascii="Times New Roman" w:hAnsi="Times New Roman" w:eastAsiaTheme="minorEastAsia"/>
          <w:b/>
          <w:sz w:val="24"/>
          <w:szCs w:val="24"/>
          <w:lang w:val="ru-RU"/>
        </w:rPr>
        <w:t>7. Прогнозируемые доходы и планируемые расходы бюджета фондов социального страхования на 2025 год</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kern w:val="0"/>
          <w:sz w:val="24"/>
          <w:szCs w:val="24"/>
          <w:lang w:val="ru-RU"/>
        </w:rPr>
        <w:t xml:space="preserve">Доходы бюджета центрального фонда социального страхования оцениваются в размере </w:t>
      </w:r>
      <w:r>
        <w:rPr>
          <w:rFonts w:ascii="Times New Roman" w:hAnsi="Times New Roman" w:eastAsiaTheme="minorEastAsia"/>
          <w:sz w:val="24"/>
          <w:szCs w:val="24"/>
          <w:lang w:val="ru-RU"/>
        </w:rPr>
        <w:t xml:space="preserve">35,517 млрд </w:t>
      </w:r>
      <w:r>
        <w:rPr>
          <w:rFonts w:ascii="Times New Roman" w:hAnsi="Times New Roman"/>
          <w:kern w:val="0"/>
          <w:sz w:val="24"/>
          <w:szCs w:val="24"/>
          <w:lang w:val="ru-RU"/>
        </w:rPr>
        <w:t xml:space="preserve">юаней </w:t>
      </w:r>
      <w:r>
        <w:rPr>
          <w:rFonts w:ascii="Times New Roman" w:hAnsi="Times New Roman" w:eastAsiaTheme="minorEastAsia"/>
          <w:sz w:val="24"/>
          <w:szCs w:val="24"/>
          <w:lang w:val="ru-RU"/>
        </w:rPr>
        <w:t xml:space="preserve">со снижением на 8,7%. Это объясняется главным образом тем, что в 2025 году будет соответствующим образом сокращен объем финансовых субсидий, предоставляемых данному фонду, с учетом его накопленных остатков и других факторов. Расходы бюджета </w:t>
      </w:r>
      <w:r>
        <w:rPr>
          <w:rFonts w:ascii="Times New Roman" w:hAnsi="Times New Roman"/>
          <w:kern w:val="0"/>
          <w:sz w:val="24"/>
          <w:szCs w:val="24"/>
          <w:lang w:val="ru-RU"/>
        </w:rPr>
        <w:t xml:space="preserve">центрального фонда социального страхования </w:t>
      </w:r>
      <w:r>
        <w:rPr>
          <w:rFonts w:ascii="Times New Roman" w:hAnsi="Times New Roman" w:eastAsiaTheme="minorEastAsia"/>
          <w:sz w:val="24"/>
          <w:szCs w:val="24"/>
          <w:lang w:val="ru-RU"/>
        </w:rPr>
        <w:t>планируются в размере 38,505 млрд юаней с увеличением на 5,2%. С учетом фактора, связанного с единым регулированием средств фондов социального страхования по всей стране, пассивное сальдо бюджетного баланса центрального фонда социального страхования на текущий год составит 2,988 млрд юаней, а накопленные остатки к концу года составят 2,85 млрд юаней.</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Доходы бюджетов местных фондов социального страхования прогнозируются в размере 12411,567 млрд юаней с увеличением на 4,7%, а расходы данных бюджетов достигнут 11299,072 млрд юаней и увеличатся на 6,9%. С учетом фактора, связанного с единым регулированием средств данных фондов, активное сальдо бюджетного баланса на текущий год составит 1112,565 млрд юаней, а накопленные остатки к концу года составят 15443,887 млрд юаней.</w:t>
      </w:r>
    </w:p>
    <w:p>
      <w:pPr>
        <w:adjustRightInd w:val="0"/>
        <w:snapToGrid w:val="0"/>
        <w:spacing w:line="300" w:lineRule="auto"/>
        <w:ind w:firstLine="420"/>
        <w:rPr>
          <w:rFonts w:ascii="Times New Roman" w:hAnsi="Times New Roman"/>
          <w:kern w:val="0"/>
          <w:sz w:val="24"/>
          <w:szCs w:val="24"/>
          <w:lang w:val="ru-RU"/>
        </w:rPr>
      </w:pPr>
      <w:r>
        <w:rPr>
          <w:rFonts w:ascii="Times New Roman" w:hAnsi="Times New Roman"/>
          <w:kern w:val="0"/>
          <w:sz w:val="24"/>
          <w:szCs w:val="24"/>
          <w:lang w:val="ru-RU"/>
        </w:rPr>
        <w:t xml:space="preserve">С учетом фактора, </w:t>
      </w:r>
      <w:r>
        <w:rPr>
          <w:rFonts w:ascii="Times New Roman" w:hAnsi="Times New Roman" w:eastAsiaTheme="minorEastAsia"/>
          <w:sz w:val="24"/>
          <w:szCs w:val="24"/>
          <w:lang w:val="ru-RU"/>
        </w:rPr>
        <w:t>связанного с единым регулированием средств фондов социального страхования по всей стране, и на основе суммирования центрального и местных бюджетов</w:t>
      </w:r>
      <w:r>
        <w:rPr>
          <w:rFonts w:ascii="Times New Roman" w:hAnsi="Times New Roman"/>
          <w:kern w:val="0"/>
          <w:sz w:val="24"/>
          <w:szCs w:val="24"/>
          <w:lang w:val="ru-RU"/>
        </w:rPr>
        <w:t xml:space="preserve">, общие поступления в бюджет фондов социального страхования по всей стране достигнут </w:t>
      </w:r>
      <w:r>
        <w:rPr>
          <w:rFonts w:ascii="Times New Roman" w:hAnsi="Times New Roman" w:eastAsiaTheme="minorEastAsia"/>
          <w:sz w:val="24"/>
          <w:szCs w:val="24"/>
          <w:lang w:val="ru-RU"/>
        </w:rPr>
        <w:t>12447,154 млрд</w:t>
      </w:r>
      <w:r>
        <w:rPr>
          <w:rFonts w:ascii="Times New Roman" w:hAnsi="Times New Roman"/>
          <w:kern w:val="0"/>
          <w:sz w:val="24"/>
          <w:szCs w:val="24"/>
          <w:lang w:val="ru-RU"/>
        </w:rPr>
        <w:t xml:space="preserve"> юаней с увеличением на </w:t>
      </w:r>
      <w:r>
        <w:rPr>
          <w:rFonts w:ascii="Times New Roman" w:hAnsi="Times New Roman" w:eastAsiaTheme="minorEastAsia"/>
          <w:sz w:val="24"/>
          <w:szCs w:val="24"/>
          <w:lang w:val="ru-RU"/>
        </w:rPr>
        <w:t>4,6%</w:t>
      </w:r>
      <w:r>
        <w:rPr>
          <w:rFonts w:ascii="Times New Roman" w:hAnsi="Times New Roman"/>
          <w:kern w:val="0"/>
          <w:sz w:val="24"/>
          <w:szCs w:val="24"/>
          <w:lang w:val="ru-RU"/>
        </w:rPr>
        <w:t xml:space="preserve">. В том числе доходы от страховых взносов – </w:t>
      </w:r>
      <w:r>
        <w:rPr>
          <w:rFonts w:ascii="Times New Roman" w:hAnsi="Times New Roman" w:eastAsiaTheme="minorEastAsia"/>
          <w:sz w:val="24"/>
          <w:szCs w:val="24"/>
          <w:lang w:val="ru-RU"/>
        </w:rPr>
        <w:t xml:space="preserve">9049,21 млрд </w:t>
      </w:r>
      <w:r>
        <w:rPr>
          <w:rFonts w:ascii="Times New Roman" w:hAnsi="Times New Roman"/>
          <w:kern w:val="0"/>
          <w:sz w:val="24"/>
          <w:szCs w:val="24"/>
          <w:lang w:val="ru-RU"/>
        </w:rPr>
        <w:t xml:space="preserve">юаней, доходы от финансовых дотаций – </w:t>
      </w:r>
      <w:r>
        <w:rPr>
          <w:rFonts w:ascii="Times New Roman" w:hAnsi="Times New Roman" w:eastAsiaTheme="minorEastAsia"/>
          <w:sz w:val="24"/>
          <w:szCs w:val="24"/>
          <w:lang w:val="ru-RU"/>
        </w:rPr>
        <w:t xml:space="preserve">2912,398 млрд </w:t>
      </w:r>
      <w:r>
        <w:rPr>
          <w:rFonts w:ascii="Times New Roman" w:hAnsi="Times New Roman"/>
          <w:kern w:val="0"/>
          <w:sz w:val="24"/>
          <w:szCs w:val="24"/>
          <w:lang w:val="ru-RU"/>
        </w:rPr>
        <w:t>юаней</w:t>
      </w:r>
      <w:r>
        <w:rPr>
          <w:rFonts w:ascii="Times New Roman" w:hAnsi="Times New Roman" w:eastAsiaTheme="minorEastAsia"/>
          <w:sz w:val="24"/>
          <w:szCs w:val="24"/>
          <w:lang w:val="ru-RU"/>
        </w:rPr>
        <w:t>.</w:t>
      </w:r>
      <w:r>
        <w:rPr>
          <w:rFonts w:ascii="Times New Roman" w:hAnsi="Times New Roman"/>
          <w:kern w:val="0"/>
          <w:sz w:val="24"/>
          <w:szCs w:val="24"/>
          <w:lang w:val="ru-RU"/>
        </w:rPr>
        <w:t xml:space="preserve"> </w:t>
      </w:r>
      <w:r>
        <w:rPr>
          <w:rFonts w:ascii="Times New Roman" w:hAnsi="Times New Roman" w:eastAsiaTheme="minorEastAsia"/>
          <w:sz w:val="24"/>
          <w:szCs w:val="24"/>
          <w:lang w:val="ru-RU"/>
        </w:rPr>
        <w:t>Выплаты из бюджета фондов социального страхования по всей стране планируются в размере 11337,577 млрд юаней с увеличением на 6,9%. Активное сальдо бюджетного баланса на текущий год составит 1109,577 млрд юаней, а накопленные остатки к концу года достигнут 15446,807 млрд юаней.</w:t>
      </w:r>
    </w:p>
    <w:p>
      <w:pPr>
        <w:adjustRightInd w:val="0"/>
        <w:snapToGrid w:val="0"/>
        <w:spacing w:line="300" w:lineRule="auto"/>
        <w:ind w:firstLine="420"/>
        <w:rPr>
          <w:rFonts w:ascii="Times New Roman" w:hAnsi="Times New Roman" w:eastAsiaTheme="minorEastAsia"/>
          <w:sz w:val="24"/>
          <w:szCs w:val="24"/>
          <w:lang w:val="ru-RU"/>
        </w:rPr>
      </w:pPr>
      <w:r>
        <w:rPr>
          <w:rFonts w:ascii="Times New Roman" w:hAnsi="Times New Roman" w:eastAsiaTheme="minorEastAsia"/>
          <w:sz w:val="24"/>
          <w:szCs w:val="24"/>
          <w:lang w:val="ru-RU"/>
        </w:rPr>
        <w:t>В 2025 году лимит госдолга составит 41860,835 млрд юаней, лимит обычных долгов местных правительств – 18068,922 млрд юаней, а лимит их целевых долгов – 39918,508 млрд юаней.</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Более подробную информацию о бюджетном планировании и соответствующие разъяснения см. в документе об исполнении бюджета КНР за 2024 год и проекте государственного бюджета на 2025 год. Следует отметить, что местные бюджеты составляются местными народными правительствами разных уровней и представляются на утверждение СНП соответствующих инстанций, в настоящее время работа по их суммированию еще не завершилась. Все представленные в докладе данные о прогнозируемых доходах и планируемых расходах местных бюджетов были предварительно намечены центральным финансовым ведомством.</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Согласно Закону о бюджете, начиная с наступления нового бюджетного года и вплоть до дня утверждения ВСНП настоящего проекта бюджета, могут быть предусмотрены следующие расходы: выплаты за счет переходящих средств из бюджета предыдущего года; ведомственные основные расходы и расходы по конкретным статьям на текущий год, подлежащие необходимому осуществлению и планируемые по размеру бюджетных расходов аналогичного периода предыдущего года, а также трансфертные платежи правительствам нижестоящих инстанций; выплаты на исполнение необходимых расходных обязательств, установленных законом, а также выплаты на ликвидацию последствий стихийных бедствий и других чрезвычайных ситуаций. В соответствии с вышеуказанными правилами и с учетом реальных потребностей центральных ведомств и местных правительств в выплатах из центрального бюджета были выделены средства на финансирование части собственных расходов центрального бюджета, а также выделена часть трансфертных платежей местным бюджетам. Выплаты из центрального обычного общественного бюджета в январе 2025 года составили 1759,7 млрд юаней, в том числе собственные расходы центрального бюджета составили 271,1 млрд юаней, а трансфертные платежи в местные бюджеты – 1488,6 млрд юаней.</w:t>
      </w:r>
    </w:p>
    <w:p>
      <w:pPr>
        <w:adjustRightInd w:val="0"/>
        <w:snapToGrid w:val="0"/>
        <w:spacing w:line="300" w:lineRule="auto"/>
        <w:ind w:firstLine="420"/>
        <w:rPr>
          <w:rFonts w:ascii="Times New Roman" w:hAnsi="Times New Roman"/>
          <w:sz w:val="24"/>
          <w:szCs w:val="24"/>
          <w:lang w:val="ru-RU"/>
        </w:rPr>
      </w:pPr>
    </w:p>
    <w:p>
      <w:pPr>
        <w:adjustRightInd w:val="0"/>
        <w:snapToGrid w:val="0"/>
        <w:spacing w:line="300" w:lineRule="auto"/>
        <w:ind w:firstLine="420"/>
        <w:rPr>
          <w:rFonts w:ascii="Times New Roman" w:hAnsi="Times New Roman"/>
          <w:sz w:val="24"/>
          <w:szCs w:val="24"/>
          <w:lang w:val="ru-RU"/>
        </w:rPr>
      </w:pPr>
    </w:p>
    <w:p>
      <w:pPr>
        <w:adjustRightInd w:val="0"/>
        <w:snapToGrid w:val="0"/>
        <w:spacing w:line="300" w:lineRule="auto"/>
        <w:jc w:val="center"/>
        <w:rPr>
          <w:rFonts w:ascii="Times New Roman" w:hAnsi="Times New Roman"/>
          <w:b/>
          <w:sz w:val="24"/>
          <w:szCs w:val="24"/>
          <w:lang w:val="ru-RU"/>
        </w:rPr>
      </w:pPr>
      <w:r>
        <w:rPr>
          <w:rFonts w:ascii="Times New Roman" w:hAnsi="Times New Roman"/>
          <w:b/>
          <w:sz w:val="24"/>
          <w:szCs w:val="24"/>
          <w:lang w:val="ru-RU"/>
        </w:rPr>
        <w:fldChar w:fldCharType="begin"/>
      </w:r>
      <w:r>
        <w:rPr>
          <w:rFonts w:ascii="Times New Roman" w:hAnsi="Times New Roman"/>
          <w:b/>
          <w:sz w:val="24"/>
          <w:szCs w:val="24"/>
          <w:lang w:val="ru-RU"/>
        </w:rPr>
        <w:instrText xml:space="preserve"> = 3 \* ROMAN </w:instrText>
      </w:r>
      <w:r>
        <w:rPr>
          <w:rFonts w:ascii="Times New Roman" w:hAnsi="Times New Roman"/>
          <w:b/>
          <w:sz w:val="24"/>
          <w:szCs w:val="24"/>
          <w:lang w:val="ru-RU"/>
        </w:rPr>
        <w:fldChar w:fldCharType="separate"/>
      </w:r>
      <w:r>
        <w:rPr>
          <w:rFonts w:ascii="Times New Roman" w:hAnsi="Times New Roman"/>
          <w:b/>
          <w:sz w:val="24"/>
          <w:szCs w:val="24"/>
          <w:lang w:val="ru-RU"/>
        </w:rPr>
        <w:t>III</w:t>
      </w:r>
      <w:r>
        <w:rPr>
          <w:rFonts w:ascii="Times New Roman" w:hAnsi="Times New Roman"/>
          <w:b/>
          <w:sz w:val="24"/>
          <w:szCs w:val="24"/>
          <w:lang w:val="ru-RU"/>
        </w:rPr>
        <w:fldChar w:fldCharType="end"/>
      </w:r>
      <w:r>
        <w:rPr>
          <w:rFonts w:ascii="Times New Roman" w:hAnsi="Times New Roman"/>
          <w:b/>
          <w:sz w:val="24"/>
          <w:szCs w:val="24"/>
          <w:lang w:val="ru-RU"/>
        </w:rPr>
        <w:t>. ОСНОВАТЕЛЬНО ВЫПОЛНЯТЬ РАБОТУ ПО РЕФОРМЕ И</w:t>
      </w:r>
    </w:p>
    <w:p>
      <w:pPr>
        <w:adjustRightInd w:val="0"/>
        <w:snapToGrid w:val="0"/>
        <w:spacing w:line="300" w:lineRule="auto"/>
        <w:jc w:val="center"/>
        <w:rPr>
          <w:rFonts w:ascii="Times New Roman" w:hAnsi="Times New Roman"/>
          <w:b/>
          <w:sz w:val="24"/>
          <w:szCs w:val="24"/>
          <w:lang w:val="ru-RU"/>
        </w:rPr>
      </w:pPr>
      <w:r>
        <w:rPr>
          <w:rFonts w:ascii="Times New Roman" w:hAnsi="Times New Roman"/>
          <w:b/>
          <w:sz w:val="24"/>
          <w:szCs w:val="24"/>
          <w:lang w:val="ru-RU"/>
        </w:rPr>
        <w:t>РАЗВИТИЮ В ФИНАНСОВОЙ СФЕРЕ В 2025 ГОДУ</w:t>
      </w:r>
    </w:p>
    <w:p>
      <w:pPr>
        <w:adjustRightInd w:val="0"/>
        <w:snapToGrid w:val="0"/>
        <w:spacing w:line="300" w:lineRule="auto"/>
        <w:ind w:firstLine="420"/>
        <w:jc w:val="center"/>
        <w:rPr>
          <w:rFonts w:ascii="Times New Roman" w:hAnsi="Times New Roman"/>
          <w:b/>
          <w:sz w:val="24"/>
          <w:szCs w:val="24"/>
          <w:lang w:val="ru-RU"/>
        </w:rPr>
      </w:pP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1. Претворять в жизнь требования о неуклонном соблюдении режима экономии в партийных и правительственных органах.</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Твердо сохраняя лучшие нравственные традиции и придерживаясь образцового стиля работы, выражающегося в упорной и самоотверженной борьбе, трудолюбии и бережливости, все партийные и правительственные органы должны сознательно и на постоянной основе соблюдать режим экономии, придерживаться принципа трудолюбия и бережливости во всех делах, чтобы высвободить больше финансовых ресурсов для развития экономики и повышения благосостояния населения. При планировании расходов по различным статьям правительственные структуры должны тщательно вести соответствующие расчеты. В частности, необходимо строго ограничивать «служебные расходы по трем статьям», расходы на проведение совещаний, подготовку и обучение кадров, на командировки, а также иные служебные расходы. Строго ограничивать строительство, ремонт и отделку служебных зданий, правительственных гостиниц и других комплексов. Интенсифицировать управление правительственными закупками и размещением новых активов. Содействовать сокращению количества праздничных торжеств, выставочных мероприятий, форумов и т.п., а также регламентировать их проведение. Мы будем усиливать работу по предварительной оценке эффективности новых важнейших государственных мер и проектов, обеспечивая ее качественное выполнение и активно применяя результаты оценки. Наряду с этим будем отменять либо сокращать малоэффективные и неэффективные проекты, способствуя тем самым благоприятному взаимодействию между проведением оценки, процессом упорядочения и повышением качества. Следует усиливать управление полным жизненным циклом государственных активов административных органов и бюджетных учреждений, а также выявлять роль всекитайской платформы регулирования и совместного использования таких активов, строго ограничивать приобретение новых активов, вводить в оборот и эффективно использовать имеющиеся активы. Оздоровлять систему отчета о государственных активах, продолжать повышать уровень управления государственными активами. Усиливать контроль и проверку в отношении соблюдения режима экономии в партийных и правительственных органах, интенсивнее осуществлять постоянный контроль за исполнением бюджетов, восполнять пробелы в управлении, непрерывно совершенствуя соответствующую систему и механизмы.</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2. Продвигать научный подход в управлении финансовой работой.</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Мы будем организовывать реализацию пилотных проектов по повышению научной обоснованности финансового управления. В этом контексте следует в тесной увязке с важными задачами реформирования бюджетно-налоговой системы и приоритетными направлениями работы по финансовому управлению в полной мере мобилизовать активность местных органов для того, чтобы разрабатывать новые методы повышения научной обоснованности управления финансовой работой. Необходимо сосредоточить силы на систематизации управления, начать работу с источников расходования бюджетных средств, создавать всеобъемлющую систему финансового управления, охватывающую весь процесс планирования и использования бюджетных средств, а также все финансовые органы и бюджетные учреждения. Прилагать особые усилия к повышению уровня детализированного управления, оптимизировать все звенья процесса осуществления финансово-бюджетной деятельности, посредством внутреннего контроля, информатизации и других способов осуществлять строгий контроль над каждой деталью работы, решительно избавляться от экстенсивной модели управления в некоторых сферах. Уделять больше внимания развитию стандартизации в управлении, динамично совершенствовать стандарты в области расходных статей, правительственных закупок, приобретения активов и т.д. Стремиться к тому, чтобы в каждой сфере существовали правила, на которые можно опереться, а также четкие стандарты, которые имеют обязательную силу. Концентрировать силы на обеспечении законности в управлении, способствовать созданию целостной системы финансово-правовых норм, твердо стоять на позиции управления финансами и исполнения административных функций в соответствии с законом, более эффективно применять правовое мышление и правовые методы для продвижения финансовой работы.</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3. Углублять реформу бюджетно-налоговой системы.</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Необходимо в соответствии с планом по углублению реформы бюджетно-налоговой системы, выдвинутым на 3-м пленуме ЦК КПК 20-го созыва, ускоренными темпами выполнить все задачи реформирования. Мы должны на основе исследований разработать предложения по совершенствованию современной бюджетной системы, укреплять системность и интегрированность различных систем и мер по осуществлению бюджетного управления, повышать их согласованность и эффективность. Совершенствовать систему финансовых трансфертных платежей, упорядочивать и нормировать целевые трансфертные платежи, увеличивать обычные трансферты. Предстоит интенсивно осуществлять пилотную реформу по внедрению бюджетирования с нулевой базой в центральных ведомствах, поддерживать местные правительства в углублении реформы по этому направлению. Продвигать создание системы критериев бюджетных расходов, усиливать их сдерживающую роль. В рамках совершенствования механизма оценки важных политических установок интенсифицировать работу по оценке соответствующих финансовых возможностей. Вводить строгие ограничения на штатную численность бюджетников. Оздоровлять систему открытости бюджетных данных и систему бюджетного контроля, повышая финансовую прозрачность. Изучать вопрос по введению налоговой системы, соответствующей особенностям новых форм хозяйственной деятельности. Нацеливаясь на увеличение собственных финансовых возможностей местных властей, следует в разумной мере расширять компетенции местных правительств в области налогового управления, углубленно изучать вопрос по взиманию местного дополнительного налога, активнее способствовать переносу взимания акцизов на часть наименований товаров на последующие звенья налогообложения и перечислению акцизного сбора в систему местного налогообложения. Оптимизировать политику по возврату суммы превышения «входящего» НДС над «исходящим», планомерно продвигать работу по регламентированию налоговых льгот. Интенсивно проводить реформу бюджетной системы на провинциальном уровне и ниже, наращивая потенциал городов и уездов в области финансового обеспечения.</w:t>
      </w:r>
    </w:p>
    <w:p>
      <w:pPr>
        <w:adjustRightInd w:val="0"/>
        <w:snapToGrid w:val="0"/>
        <w:spacing w:line="300" w:lineRule="auto"/>
        <w:ind w:firstLine="420"/>
        <w:rPr>
          <w:rFonts w:ascii="Times New Roman" w:hAnsi="Times New Roman"/>
          <w:b/>
          <w:sz w:val="24"/>
          <w:szCs w:val="24"/>
          <w:lang w:val="ru-RU"/>
        </w:rPr>
      </w:pPr>
      <w:r>
        <w:rPr>
          <w:rFonts w:ascii="Times New Roman" w:hAnsi="Times New Roman" w:eastAsia="Malgun Gothic"/>
          <w:b/>
          <w:sz w:val="24"/>
          <w:szCs w:val="24"/>
          <w:lang w:val="ru-RU" w:eastAsia="ko-KR"/>
        </w:rPr>
        <w:t xml:space="preserve">4. </w:t>
      </w:r>
      <w:r>
        <w:rPr>
          <w:rFonts w:ascii="Times New Roman" w:hAnsi="Times New Roman"/>
          <w:b/>
          <w:sz w:val="24"/>
          <w:szCs w:val="24"/>
          <w:lang w:val="ru-RU"/>
        </w:rPr>
        <w:t>Надежно обеспечить предоставление «трех гарантий» в низах.</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 xml:space="preserve">Неизменно </w:t>
      </w:r>
      <w:r>
        <w:rPr>
          <w:rFonts w:ascii="Times New Roman" w:hAnsi="Times New Roman" w:eastAsia="MS Mincho"/>
          <w:sz w:val="24"/>
          <w:szCs w:val="24"/>
          <w:lang w:val="ru-RU" w:eastAsia="ja-JP"/>
        </w:rPr>
        <w:t xml:space="preserve">отводя </w:t>
      </w:r>
      <w:r>
        <w:rPr>
          <w:rFonts w:ascii="Times New Roman" w:hAnsi="Times New Roman"/>
          <w:sz w:val="24"/>
          <w:szCs w:val="24"/>
          <w:lang w:val="ru-RU"/>
        </w:rPr>
        <w:t>задаче по предоставлению «трех гарантий» приоритетное место в финансовой работе, мы должны строго закреплять ответственность по финансовому обеспечению за финансовыми органами разных уровней. Оздоровлять систему ответственности, в рамках которой уезд выступает в качестве основного субъекта предоставления «трех гарантий» при поддержке (дополнительном финансировании) городского правительства, а недостающие ресурсы обеспечиваются провинциальным бюджетом. На основе исследований составить перечень расходов на реализацию «трех гарантий», рационально определить критерии выплат и сферы обеспечения, стремясь к тому, чтобы выработанная политика не только соответствовала реальной действительности, но и могла устойчиво функционировать в долгосрочной перспективе. Необходимо в полном объеме обеспечить выделение бюджетных средств на предоставление «трех гарантий», усиливать контроль за процессом исполнения бюджетов, интенсифицировать работу по регулированию казначейских средств, в приоритетном порядке обеспечивать расходы на «три гарантии», особенно расходы на выдачу заработной платы и предоставление персональных социальных выплат в рамках обеспечения базового уровня народного благосостояния. Категорически запрещать выделение непредусмотренных бюджетом и превышающих установленные нормы средств, строго ограничить количество новых временных платежей. Осуществлять динамический мониторинг функционирования местных финансовых систем, усиливать работу по предупреждению финансовых рисков, совершенствовать механизм по экстренному реагированию на них, чтобы своевременно предотвращать и устранять риски в области «трех гарантий».</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5. Предотвращать и устранять долговые риски местных правительств.</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Необходимо твердо стоять на позиции соблюдения баланса между погашением задолженностей и стимулированием развития, побуждать местные правительства к реализации и улучшению пакета мер по устранению долговых рисков. В зависимости от степени срочности и важности задач должным образом выполнить работу по конверсии накопленных скрытых долгов местных правительств, на основе единого планирования осуществить приоритизацию подлежащих конверсии задолженностей и составить соответствующий график работы по годам. Усиливать управление сферами и процессом использования средств, привлеченных за счет размещения облигаций рефинансирования, чтобы решительно предотвращать отклонения в реализации государственных мер, а также возникновение моральных рисков. Местные правительства обязаны соблюдать железную дисциплину, нацеленную на предотвращение роста скрытых долгов, ужесточать бюджетное управление расходными статьями правительств и их инвестиционными проектами, назначать строгое наказание за такие действия, как привлечение заемных средств в нарушение регламентов, ложное погашение долгов и т.д., предотвращать возникновение новых долгов в ходе погашения имеющихся. Координировать работу по конверсии скрытых долгов и работу по трансформации финансовых платформ местных правительств, ускорять работу по освобождению финансовых платформ от функций аккумуляции средств для местных правительств, содействовать устранению рисков, связанных со скрытыми долгами, способствовать рыночной трансформации этих платформ. Строго запрещать накопление новых скрытых долгов за счет различных предприятий и бюджетных учреждений, пресекать любые действия, связанные с различными способами превращения предприятий и бюджетных учреждений в финансовые платформы. Решительно не допускать образования под различными предлогами новых финансовых платформ. Оздоровлять систему мониторинга местных долговых обязательств и систему показателей оценки рисков в этой области, способствовать созданию единой долгосрочной системы контроля за долговыми обязательствами местных правительств.</w:t>
      </w:r>
    </w:p>
    <w:p>
      <w:pPr>
        <w:adjustRightInd w:val="0"/>
        <w:snapToGrid w:val="0"/>
        <w:spacing w:line="300" w:lineRule="auto"/>
        <w:ind w:firstLine="420"/>
        <w:rPr>
          <w:rFonts w:ascii="Times New Roman" w:hAnsi="Times New Roman"/>
          <w:b/>
          <w:sz w:val="24"/>
          <w:szCs w:val="24"/>
          <w:lang w:val="ru-RU"/>
        </w:rPr>
      </w:pPr>
      <w:r>
        <w:rPr>
          <w:rFonts w:ascii="Times New Roman" w:hAnsi="Times New Roman"/>
          <w:b/>
          <w:sz w:val="24"/>
          <w:szCs w:val="24"/>
          <w:lang w:val="ru-RU"/>
        </w:rPr>
        <w:t>6. Наращивать динамику финансово-бухгалтерского контроля.</w:t>
      </w:r>
    </w:p>
    <w:p>
      <w:pPr>
        <w:adjustRightInd w:val="0"/>
        <w:snapToGrid w:val="0"/>
        <w:spacing w:line="300" w:lineRule="auto"/>
        <w:ind w:firstLine="420"/>
        <w:rPr>
          <w:rFonts w:ascii="Times New Roman" w:hAnsi="Times New Roman"/>
          <w:sz w:val="24"/>
          <w:szCs w:val="24"/>
          <w:lang w:val="ru-RU"/>
        </w:rPr>
      </w:pPr>
      <w:r>
        <w:rPr>
          <w:rFonts w:ascii="Times New Roman" w:hAnsi="Times New Roman"/>
          <w:sz w:val="24"/>
          <w:szCs w:val="24"/>
          <w:lang w:val="ru-RU"/>
        </w:rPr>
        <w:t>В контексте усиления и улучшения работы, а также сосредоточения усилий на ключевых сферах и актуальных проблемах, необходимо осуществлять финансово-бухгалтерский контроль в соответствии с законами и нормативными актами, повышать авторитетность и эффективность контроля. Рассматривая реализацию важнейших решений и планов ЦК КПК и Госсовета в качестве первостепенной задачи финансово-бухгалтерского контроля, акцентируя внимание на острых противоречиях в финансовой сфере, а также на проблемах, которые часто и с высокой вероятностью возникают в этой сфере, всесторонне развертывать целевые мероприятия по финансово-бухгалтерскому контролю, усиливать контроль за деятельностью по реализации финансово-налоговых политических установок, а также по управлению и использованию бюджетных средств. Усиливать работу по преданию огласке фактов нарушения в финансово-бухгалтерской сфере и привлечению нарушителей к ответственности, ужесточая при этом меры наказания, чтобы более эффективно поддерживать финансово-экономическую дисциплину и порядок в рыночной экономике. Следует претворять в жизнь недавно пересмотренный Закон о бухгалтерском учете, ускорять работу по внесению изменений в Закон о сертифицированных бухгалтерах, усиливать контроль над качеством деятельности бухгалтерских компаний, компаний по оценке активов, компаний бухгалтерского аутсорсинга и других посреднических организаций. Активизировать регулярный отраслевой контроль и управление кредитной историей, строго пресекать нарушающие законы и нормативные акты действия в финансово-бухгалтерской области. На основе единого планирования продвигать работу по созданию правовой системы, контингента кадровых работников и информационной системы в области финансово-бухгалтерского контроля, оптимизировать рабочий механизм взаимосвязи и координации между финансово-бухгалтерским контролем и другими различными видами контроля.</w:t>
      </w:r>
    </w:p>
    <w:p>
      <w:pPr>
        <w:adjustRightInd w:val="0"/>
        <w:snapToGrid w:val="0"/>
        <w:spacing w:line="300" w:lineRule="auto"/>
        <w:ind w:firstLine="420"/>
        <w:rPr>
          <w:rFonts w:ascii="Times New Roman" w:hAnsi="Times New Roman"/>
          <w:kern w:val="0"/>
          <w:sz w:val="24"/>
          <w:szCs w:val="24"/>
          <w:lang w:val="ru-RU"/>
        </w:rPr>
      </w:pPr>
      <w:r>
        <w:rPr>
          <w:rFonts w:ascii="Times New Roman" w:hAnsi="Times New Roman"/>
          <w:sz w:val="24"/>
          <w:szCs w:val="24"/>
          <w:lang w:val="ru-RU"/>
        </w:rPr>
        <w:t xml:space="preserve">Финансовые органы будут сознательно реализовывать народную демократию во всем процессе, активно и инициативно подчиняться контролю и руководству со стороны СНП, оказывать содействие в надлежащем выполнении работы по разработке либо пересмотру Закона о бюджете, Закона об акцизах, Закона о правительственных закупках, Закона об управлении налогообложением и других законов, а также работы по всеохватному рассмотрению правительственных бюджетов, контролю и управлению всем процессом их исполнения, контролю над правительственными долговыми обязательствами, управлению и контролю над государственными активами и т.п. </w:t>
      </w:r>
      <w:r>
        <w:rPr>
          <w:rFonts w:ascii="Times New Roman" w:hAnsi="Times New Roman"/>
          <w:kern w:val="0"/>
          <w:sz w:val="24"/>
          <w:szCs w:val="24"/>
          <w:lang w:val="ru-RU"/>
        </w:rPr>
        <w:t>Финансовые органы также будут внимательно изучать соответствующие постановления и предложения СНП по результатам рассмотрения, своевременно отчитываться о процессе их реализации, основательно рассматривать и внедрять предложения депутатов СНП, активизировать регулярные контакты и обмен мнениями с ними, усиливать работу по обслуживанию депутатов с использованием цифровых технологий, непрерывно повышать уровень финансовой работы, чтобы более эффективно удовлетворять потребности депутатов СНП и народных масс.</w:t>
      </w:r>
    </w:p>
    <w:p>
      <w:pPr>
        <w:adjustRightInd w:val="0"/>
        <w:snapToGrid w:val="0"/>
        <w:spacing w:line="300" w:lineRule="auto"/>
        <w:ind w:firstLine="420"/>
        <w:rPr>
          <w:rFonts w:ascii="Times New Roman" w:hAnsi="Times New Roman"/>
          <w:b/>
          <w:kern w:val="0"/>
          <w:sz w:val="24"/>
          <w:szCs w:val="24"/>
          <w:lang w:val="ru-RU"/>
        </w:rPr>
      </w:pPr>
      <w:r>
        <w:rPr>
          <w:rFonts w:ascii="Times New Roman" w:hAnsi="Times New Roman"/>
          <w:b/>
          <w:kern w:val="0"/>
          <w:sz w:val="24"/>
          <w:szCs w:val="24"/>
          <w:lang w:val="ru-RU"/>
        </w:rPr>
        <w:t>Уважаемые депутаты!</w:t>
      </w:r>
    </w:p>
    <w:p>
      <w:pPr>
        <w:adjustRightInd w:val="0"/>
        <w:snapToGrid w:val="0"/>
        <w:spacing w:line="300" w:lineRule="auto"/>
        <w:ind w:firstLine="420"/>
        <w:rPr>
          <w:lang w:val="ru-RU"/>
        </w:rPr>
      </w:pPr>
      <w:r>
        <w:rPr>
          <w:rFonts w:ascii="Times New Roman" w:hAnsi="Times New Roman"/>
          <w:kern w:val="0"/>
          <w:sz w:val="24"/>
          <w:szCs w:val="24"/>
          <w:lang w:val="ru-RU"/>
        </w:rPr>
        <w:t xml:space="preserve">Продвижение работы требует от нас практических и единодушных усилий. Мы должны, еще теснее сплачиваясь вокруг ЦК КПК, ядром которого является товарищ Си Цзиньпин, высоко неся великое знамя социализма с китайской спецификой, руководствуясь идеями Си Цзиньпина о социализме с китайской спецификой новой эпохи, целиком и полностью претворять в жизнь дух </w:t>
      </w:r>
      <w:r>
        <w:rPr>
          <w:rFonts w:ascii="Times New Roman" w:hAnsi="Times New Roman" w:eastAsiaTheme="minorEastAsia"/>
          <w:sz w:val="24"/>
          <w:szCs w:val="24"/>
        </w:rPr>
        <w:fldChar w:fldCharType="begin"/>
      </w:r>
      <w:r>
        <w:rPr>
          <w:rFonts w:ascii="Times New Roman" w:hAnsi="Times New Roman"/>
          <w:kern w:val="0"/>
          <w:sz w:val="24"/>
          <w:szCs w:val="24"/>
          <w:lang w:val="ru-RU"/>
        </w:rPr>
        <w:instrText xml:space="preserve"> = 20 \* ROMAN </w:instrText>
      </w:r>
      <w:r>
        <w:rPr>
          <w:rFonts w:ascii="Times New Roman" w:hAnsi="Times New Roman" w:eastAsiaTheme="minorEastAsia"/>
          <w:sz w:val="24"/>
          <w:szCs w:val="24"/>
        </w:rPr>
        <w:fldChar w:fldCharType="separate"/>
      </w:r>
      <w:r>
        <w:rPr>
          <w:rFonts w:ascii="Times New Roman" w:hAnsi="Times New Roman"/>
          <w:kern w:val="0"/>
          <w:sz w:val="24"/>
          <w:szCs w:val="24"/>
          <w:lang w:val="ru-RU"/>
        </w:rPr>
        <w:t>XX</w:t>
      </w:r>
      <w:r>
        <w:rPr>
          <w:rFonts w:ascii="Times New Roman" w:hAnsi="Times New Roman" w:eastAsiaTheme="minorEastAsia"/>
          <w:sz w:val="24"/>
          <w:szCs w:val="24"/>
        </w:rPr>
        <w:fldChar w:fldCharType="end"/>
      </w:r>
      <w:r>
        <w:rPr>
          <w:rFonts w:ascii="Times New Roman" w:hAnsi="Times New Roman"/>
          <w:kern w:val="0"/>
          <w:sz w:val="24"/>
          <w:szCs w:val="24"/>
          <w:lang w:val="ru-RU"/>
        </w:rPr>
        <w:t xml:space="preserve"> съезда КПК, 2-го и 3-го пленумов ЦК КПК 20-го созыва, глубоко понимать решающее значение утверждения статуса товарища Си Цзиньпина как руководящего ядра ЦК КПК и партии в целом, руководящего положения идей Си Цзиньпина о социализме с китайской спецификой новой эпохи, упрочивать политическое сознание, сознание интересов целого, сознание ядра и сознание равнения, укреплять уверенность в собственном пути, теории, строе и культуре, 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Мы будем развивать деловой подход к работе, с полным энтузиазмом и воодушевлением стремиться к добросовестному выполнению различных задач по реформированию и развитию в финансовой сфере, вносить новый и более весомый вклад во всестороннее продвижение великого дела построения могущественной державы и национального возрождения за счет китайской модернизации!</w:t>
      </w:r>
      <w:bookmarkStart w:id="52" w:name="_GoBack"/>
      <w:bookmarkEnd w:id="52"/>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5D"/>
    <w:rsid w:val="00005D9A"/>
    <w:rsid w:val="00407380"/>
    <w:rsid w:val="00474C5D"/>
    <w:rsid w:val="005C08BC"/>
    <w:rsid w:val="0070022C"/>
    <w:rsid w:val="00A2073E"/>
    <w:rsid w:val="00B32071"/>
    <w:rsid w:val="00B85FC9"/>
    <w:rsid w:val="00E303DB"/>
    <w:rsid w:val="00EA5849"/>
    <w:rsid w:val="00F14225"/>
    <w:rsid w:val="7FC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Calibri" w:hAnsi="Calibri" w:eastAsia="宋体" w:cs="Times New Roman"/>
      <w:sz w:val="18"/>
      <w:szCs w:val="18"/>
    </w:rPr>
  </w:style>
  <w:style w:type="character" w:customStyle="1" w:styleId="7">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63</Words>
  <Characters>360</Characters>
  <Lines>3</Lines>
  <Paragraphs>1</Paragraphs>
  <TotalTime>8</TotalTime>
  <ScaleCrop>false</ScaleCrop>
  <LinksUpToDate>false</LinksUpToDate>
  <CharactersWithSpaces>422</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2024-03-03T02:17:00Z</dcterms:created>
  <dc:creator>徐燕霞</dc:creator>
  <cp:lastModifiedBy>xhs</cp:lastModifiedBy>
  <cp:lastPrinted>2025-03-04T03:26:00Z</cp:lastPrinted>
  <dcterms:modified xsi:type="dcterms:W3CDTF">2025-03-14T02:35:01Z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