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both"/>
        <w:rPr>
          <w:rFonts w:ascii="Times New Roman" w:hAnsi="Times New Roman" w:eastAsia="楷体"/>
          <w:b/>
          <w:bCs/>
          <w:kern w:val="0"/>
          <w:sz w:val="24"/>
          <w:szCs w:val="24"/>
          <w:lang w:val="ru-RU"/>
        </w:rPr>
        <w:pPrChange w:id="0" w:author="褚琦琦" w:date="2023-03-17T08:50:46Z">
          <w:pPr>
            <w:widowControl/>
            <w:adjustRightInd w:val="0"/>
            <w:snapToGrid w:val="0"/>
            <w:jc w:val="center"/>
          </w:pPr>
        </w:pPrChange>
      </w:pPr>
      <w:r>
        <w:rPr>
          <w:rFonts w:ascii="Times New Roman" w:hAnsi="Times New Roman" w:cs="Times New Roman"/>
          <w:b/>
          <w:sz w:val="24"/>
          <w:szCs w:val="24"/>
          <w:lang w:val="ru-RU"/>
        </w:rPr>
        <w:tab/>
      </w:r>
    </w:p>
    <w:p>
      <w:pPr>
        <w:widowControl/>
        <w:adjustRightInd w:val="0"/>
        <w:snapToGrid w:val="0"/>
        <w:jc w:val="center"/>
        <w:rPr>
          <w:rFonts w:ascii="Times New Roman" w:hAnsi="Times New Roman" w:eastAsia="楷体"/>
          <w:b/>
          <w:bCs/>
          <w:kern w:val="0"/>
          <w:sz w:val="24"/>
          <w:szCs w:val="24"/>
          <w:lang w:val="ru-RU"/>
        </w:rPr>
      </w:pPr>
    </w:p>
    <w:p>
      <w:pPr>
        <w:widowControl/>
        <w:adjustRightInd w:val="0"/>
        <w:snapToGrid w:val="0"/>
        <w:jc w:val="center"/>
        <w:rPr>
          <w:rFonts w:ascii="Times New Roman" w:hAnsi="Times New Roman" w:eastAsia="楷体"/>
          <w:b/>
          <w:bCs/>
          <w:kern w:val="0"/>
          <w:sz w:val="24"/>
          <w:szCs w:val="24"/>
          <w:lang w:val="ru-RU"/>
        </w:rPr>
      </w:pPr>
    </w:p>
    <w:p>
      <w:pPr>
        <w:widowControl/>
        <w:adjustRightInd w:val="0"/>
        <w:snapToGrid w:val="0"/>
        <w:jc w:val="center"/>
        <w:rPr>
          <w:rFonts w:ascii="Times New Roman" w:hAnsi="Times New Roman" w:eastAsia="楷体"/>
          <w:b/>
          <w:bCs/>
          <w:kern w:val="0"/>
          <w:sz w:val="24"/>
          <w:szCs w:val="24"/>
          <w:lang w:val="ru-RU"/>
        </w:rPr>
      </w:pPr>
    </w:p>
    <w:p>
      <w:pPr>
        <w:widowControl/>
        <w:adjustRightInd w:val="0"/>
        <w:snapToGrid w:val="0"/>
        <w:jc w:val="center"/>
        <w:rPr>
          <w:rFonts w:ascii="Times New Roman" w:hAnsi="Times New Roman" w:eastAsia="楷体"/>
          <w:b/>
          <w:bCs/>
          <w:kern w:val="0"/>
          <w:sz w:val="24"/>
          <w:szCs w:val="24"/>
          <w:lang w:val="ru-RU"/>
        </w:rPr>
      </w:pPr>
    </w:p>
    <w:p>
      <w:pPr>
        <w:widowControl/>
        <w:adjustRightInd w:val="0"/>
        <w:snapToGrid w:val="0"/>
        <w:jc w:val="center"/>
        <w:rPr>
          <w:rFonts w:ascii="Times New Roman" w:hAnsi="Times New Roman" w:eastAsia="楷体"/>
          <w:b/>
          <w:bCs/>
          <w:kern w:val="0"/>
          <w:sz w:val="24"/>
          <w:szCs w:val="24"/>
          <w:lang w:val="ru-RU"/>
        </w:rPr>
      </w:pPr>
      <w:r>
        <w:rPr>
          <w:rFonts w:ascii="Times New Roman" w:hAnsi="Times New Roman" w:eastAsia="楷体"/>
          <w:b/>
          <w:bCs/>
          <w:kern w:val="0"/>
          <w:sz w:val="24"/>
          <w:szCs w:val="24"/>
          <w:lang w:val="ru-RU"/>
        </w:rPr>
        <w:t>Министерство финансов КНР</w:t>
      </w:r>
    </w:p>
    <w:p>
      <w:pPr>
        <w:widowControl/>
        <w:adjustRightInd w:val="0"/>
        <w:snapToGrid w:val="0"/>
        <w:jc w:val="center"/>
        <w:rPr>
          <w:rFonts w:ascii="Times New Roman" w:hAnsi="Times New Roman" w:eastAsia="楷体"/>
          <w:b/>
          <w:bCs/>
          <w:kern w:val="0"/>
          <w:sz w:val="28"/>
          <w:szCs w:val="28"/>
          <w:lang w:val="ru-RU"/>
        </w:rPr>
      </w:pPr>
    </w:p>
    <w:p>
      <w:pPr>
        <w:widowControl/>
        <w:adjustRightInd w:val="0"/>
        <w:snapToGrid w:val="0"/>
        <w:jc w:val="center"/>
        <w:rPr>
          <w:rFonts w:ascii="Times New Roman" w:hAnsi="Times New Roman" w:eastAsia="楷体"/>
          <w:b/>
          <w:bCs/>
          <w:kern w:val="0"/>
          <w:sz w:val="28"/>
          <w:szCs w:val="28"/>
          <w:lang w:val="ru-RU"/>
        </w:rPr>
      </w:pPr>
    </w:p>
    <w:p>
      <w:pPr>
        <w:widowControl/>
        <w:adjustRightInd w:val="0"/>
        <w:snapToGrid w:val="0"/>
        <w:jc w:val="center"/>
        <w:rPr>
          <w:rFonts w:ascii="Times New Roman" w:hAnsi="Times New Roman" w:eastAsia="楷体"/>
          <w:b/>
          <w:bCs/>
          <w:kern w:val="0"/>
          <w:sz w:val="28"/>
          <w:szCs w:val="28"/>
          <w:lang w:val="ru-RU"/>
        </w:rPr>
      </w:pPr>
    </w:p>
    <w:p>
      <w:pPr>
        <w:widowControl/>
        <w:adjustRightInd w:val="0"/>
        <w:snapToGrid w:val="0"/>
        <w:jc w:val="center"/>
        <w:rPr>
          <w:rFonts w:ascii="Times New Roman" w:hAnsi="Times New Roman" w:eastAsia="楷体"/>
          <w:b/>
          <w:bCs/>
          <w:kern w:val="0"/>
          <w:sz w:val="28"/>
          <w:szCs w:val="28"/>
          <w:lang w:val="ru-RU"/>
        </w:rPr>
      </w:pPr>
    </w:p>
    <w:p>
      <w:pPr>
        <w:widowControl/>
        <w:adjustRightInd w:val="0"/>
        <w:snapToGrid w:val="0"/>
        <w:jc w:val="center"/>
        <w:rPr>
          <w:rFonts w:ascii="Times New Roman" w:hAnsi="Times New Roman" w:eastAsia="楷体"/>
          <w:b/>
          <w:bCs/>
          <w:kern w:val="0"/>
          <w:sz w:val="32"/>
          <w:szCs w:val="32"/>
          <w:lang w:val="ru-RU"/>
        </w:rPr>
      </w:pPr>
      <w:bookmarkStart w:id="31" w:name="_GoBack"/>
      <w:bookmarkEnd w:id="31"/>
      <w:r>
        <w:rPr>
          <w:rFonts w:ascii="Times New Roman" w:hAnsi="Times New Roman" w:eastAsia="楷体"/>
          <w:b/>
          <w:bCs/>
          <w:kern w:val="0"/>
          <w:sz w:val="32"/>
          <w:szCs w:val="32"/>
          <w:lang w:val="ru-RU"/>
        </w:rPr>
        <w:t>ДОКЛАД ОБ ИСПОЛНЕНИИ</w:t>
      </w:r>
    </w:p>
    <w:p>
      <w:pPr>
        <w:widowControl/>
        <w:adjustRightInd w:val="0"/>
        <w:snapToGrid w:val="0"/>
        <w:jc w:val="center"/>
        <w:rPr>
          <w:rFonts w:ascii="Times New Roman" w:hAnsi="Times New Roman" w:eastAsia="楷体"/>
          <w:b/>
          <w:bCs/>
          <w:kern w:val="0"/>
          <w:sz w:val="32"/>
          <w:szCs w:val="32"/>
          <w:lang w:val="ru-RU"/>
        </w:rPr>
      </w:pPr>
      <w:r>
        <w:rPr>
          <w:rFonts w:ascii="Times New Roman" w:hAnsi="Times New Roman" w:eastAsia="楷体"/>
          <w:b/>
          <w:bCs/>
          <w:kern w:val="0"/>
          <w:sz w:val="32"/>
          <w:szCs w:val="32"/>
          <w:lang w:val="ru-RU"/>
        </w:rPr>
        <w:t>ЦЕНТРАЛЬНОГО И МЕСТНЫХ БЮДЖЕТОВ</w:t>
      </w:r>
    </w:p>
    <w:p>
      <w:pPr>
        <w:widowControl/>
        <w:adjustRightInd w:val="0"/>
        <w:snapToGrid w:val="0"/>
        <w:jc w:val="center"/>
        <w:rPr>
          <w:rFonts w:ascii="Times New Roman" w:hAnsi="Times New Roman" w:eastAsia="楷体"/>
          <w:b/>
          <w:bCs/>
          <w:kern w:val="0"/>
          <w:sz w:val="32"/>
          <w:szCs w:val="32"/>
          <w:lang w:val="ru-RU"/>
        </w:rPr>
      </w:pPr>
      <w:r>
        <w:rPr>
          <w:rFonts w:ascii="Times New Roman" w:hAnsi="Times New Roman" w:eastAsia="楷体"/>
          <w:b/>
          <w:bCs/>
          <w:kern w:val="0"/>
          <w:sz w:val="32"/>
          <w:szCs w:val="32"/>
          <w:lang w:val="ru-RU"/>
        </w:rPr>
        <w:t>ЗА 202</w:t>
      </w:r>
      <w:r>
        <w:rPr>
          <w:rFonts w:hint="eastAsia" w:ascii="Times New Roman" w:hAnsi="Times New Roman" w:eastAsia="楷体"/>
          <w:b/>
          <w:bCs/>
          <w:kern w:val="0"/>
          <w:sz w:val="32"/>
          <w:szCs w:val="32"/>
          <w:lang w:val="ru-RU"/>
        </w:rPr>
        <w:t>2</w:t>
      </w:r>
      <w:r>
        <w:rPr>
          <w:rFonts w:ascii="Times New Roman" w:hAnsi="Times New Roman" w:eastAsia="楷体"/>
          <w:b/>
          <w:bCs/>
          <w:kern w:val="0"/>
          <w:sz w:val="32"/>
          <w:szCs w:val="32"/>
          <w:lang w:val="ru-RU"/>
        </w:rPr>
        <w:t xml:space="preserve"> ГОД И ПРОЕКТЕ ЦЕНТРАЛЬНОГО</w:t>
      </w:r>
    </w:p>
    <w:p>
      <w:pPr>
        <w:widowControl/>
        <w:adjustRightInd w:val="0"/>
        <w:snapToGrid w:val="0"/>
        <w:jc w:val="center"/>
        <w:rPr>
          <w:rFonts w:ascii="Times New Roman" w:hAnsi="Times New Roman" w:eastAsia="楷体"/>
          <w:b/>
          <w:bCs/>
          <w:kern w:val="0"/>
          <w:sz w:val="32"/>
          <w:szCs w:val="32"/>
          <w:lang w:val="ru-RU"/>
        </w:rPr>
      </w:pPr>
      <w:r>
        <w:rPr>
          <w:rFonts w:ascii="Times New Roman" w:hAnsi="Times New Roman" w:eastAsia="楷体"/>
          <w:b/>
          <w:bCs/>
          <w:kern w:val="0"/>
          <w:sz w:val="32"/>
          <w:szCs w:val="32"/>
          <w:lang w:val="ru-RU"/>
        </w:rPr>
        <w:t>И МЕСТНЫХ БЮДЖЕТОВ НА 202</w:t>
      </w:r>
      <w:r>
        <w:rPr>
          <w:rFonts w:hint="eastAsia" w:ascii="Times New Roman" w:hAnsi="Times New Roman" w:eastAsia="楷体"/>
          <w:b/>
          <w:bCs/>
          <w:kern w:val="0"/>
          <w:sz w:val="32"/>
          <w:szCs w:val="32"/>
          <w:lang w:val="ru-RU"/>
        </w:rPr>
        <w:t>3</w:t>
      </w:r>
      <w:r>
        <w:rPr>
          <w:rFonts w:ascii="Times New Roman" w:hAnsi="Times New Roman" w:eastAsia="楷体"/>
          <w:b/>
          <w:bCs/>
          <w:kern w:val="0"/>
          <w:sz w:val="32"/>
          <w:szCs w:val="32"/>
          <w:lang w:val="ru-RU"/>
        </w:rPr>
        <w:t xml:space="preserve"> ГОД</w:t>
      </w:r>
    </w:p>
    <w:p>
      <w:pPr>
        <w:widowControl/>
        <w:adjustRightInd w:val="0"/>
        <w:snapToGrid w:val="0"/>
        <w:jc w:val="center"/>
        <w:rPr>
          <w:rFonts w:ascii="Times New Roman" w:hAnsi="Times New Roman" w:eastAsia="楷体"/>
          <w:b/>
          <w:bCs/>
          <w:kern w:val="0"/>
          <w:sz w:val="32"/>
          <w:szCs w:val="32"/>
          <w:lang w:val="ru-RU"/>
        </w:rPr>
      </w:pPr>
    </w:p>
    <w:p>
      <w:pPr>
        <w:widowControl/>
        <w:adjustRightInd w:val="0"/>
        <w:snapToGrid w:val="0"/>
        <w:jc w:val="center"/>
        <w:rPr>
          <w:rFonts w:ascii="Times New Roman" w:hAnsi="Times New Roman" w:eastAsia="楷体"/>
          <w:b/>
          <w:bCs/>
          <w:kern w:val="0"/>
          <w:sz w:val="24"/>
          <w:szCs w:val="24"/>
          <w:lang w:val="ru-RU"/>
        </w:rPr>
      </w:pPr>
    </w:p>
    <w:p>
      <w:pPr>
        <w:widowControl/>
        <w:adjustRightInd w:val="0"/>
        <w:snapToGrid w:val="0"/>
        <w:jc w:val="center"/>
        <w:rPr>
          <w:rFonts w:ascii="Times New Roman" w:hAnsi="Times New Roman" w:eastAsia="楷体"/>
          <w:bCs/>
          <w:kern w:val="0"/>
          <w:sz w:val="28"/>
          <w:szCs w:val="28"/>
          <w:lang w:val="ru-RU"/>
        </w:rPr>
      </w:pPr>
    </w:p>
    <w:p>
      <w:pPr>
        <w:widowControl/>
        <w:adjustRightInd w:val="0"/>
        <w:snapToGrid w:val="0"/>
        <w:jc w:val="center"/>
        <w:rPr>
          <w:rFonts w:ascii="Times New Roman" w:hAnsi="Times New Roman" w:eastAsia="楷体"/>
          <w:bCs/>
          <w:kern w:val="0"/>
          <w:sz w:val="28"/>
          <w:szCs w:val="28"/>
          <w:lang w:val="ru-RU"/>
        </w:rPr>
      </w:pPr>
    </w:p>
    <w:p>
      <w:pPr>
        <w:widowControl/>
        <w:adjustRightInd w:val="0"/>
        <w:snapToGrid w:val="0"/>
        <w:jc w:val="center"/>
        <w:rPr>
          <w:rFonts w:ascii="Times New Roman" w:hAnsi="Times New Roman" w:eastAsia="楷体"/>
          <w:bCs/>
          <w:kern w:val="0"/>
          <w:sz w:val="24"/>
          <w:szCs w:val="24"/>
          <w:lang w:val="ru-RU"/>
        </w:rPr>
      </w:pPr>
      <w:r>
        <w:rPr>
          <w:rFonts w:ascii="Times New Roman" w:hAnsi="Times New Roman" w:eastAsia="楷体"/>
          <w:bCs/>
          <w:kern w:val="0"/>
          <w:sz w:val="24"/>
          <w:szCs w:val="24"/>
          <w:lang w:val="ru-RU"/>
        </w:rPr>
        <w:t>Представлен 5 марта 202</w:t>
      </w:r>
      <w:r>
        <w:rPr>
          <w:rFonts w:hint="eastAsia" w:ascii="Times New Roman" w:hAnsi="Times New Roman" w:eastAsia="楷体"/>
          <w:bCs/>
          <w:kern w:val="0"/>
          <w:sz w:val="24"/>
          <w:szCs w:val="24"/>
          <w:lang w:val="ru-RU"/>
        </w:rPr>
        <w:t>3</w:t>
      </w:r>
      <w:r>
        <w:rPr>
          <w:rFonts w:ascii="Times New Roman" w:hAnsi="Times New Roman" w:eastAsia="楷体"/>
          <w:bCs/>
          <w:kern w:val="0"/>
          <w:sz w:val="24"/>
          <w:szCs w:val="24"/>
          <w:lang w:val="ru-RU"/>
        </w:rPr>
        <w:t xml:space="preserve"> года </w:t>
      </w:r>
      <w:r>
        <w:rPr>
          <w:rFonts w:hint="eastAsia" w:ascii="Times New Roman" w:hAnsi="Times New Roman" w:eastAsia="楷体"/>
          <w:bCs/>
          <w:kern w:val="0"/>
          <w:sz w:val="24"/>
          <w:szCs w:val="24"/>
          <w:lang w:val="ru-RU"/>
        </w:rPr>
        <w:t>1</w:t>
      </w:r>
      <w:r>
        <w:rPr>
          <w:rFonts w:ascii="Times New Roman" w:hAnsi="Times New Roman" w:eastAsia="楷体"/>
          <w:bCs/>
          <w:kern w:val="0"/>
          <w:sz w:val="24"/>
          <w:szCs w:val="24"/>
          <w:lang w:val="ru-RU"/>
        </w:rPr>
        <w:t>-й сессии</w:t>
      </w:r>
    </w:p>
    <w:p>
      <w:pPr>
        <w:widowControl/>
        <w:adjustRightInd w:val="0"/>
        <w:snapToGrid w:val="0"/>
        <w:jc w:val="center"/>
        <w:rPr>
          <w:rFonts w:ascii="Times New Roman" w:hAnsi="Times New Roman" w:eastAsia="楷体"/>
          <w:bCs/>
          <w:kern w:val="0"/>
          <w:sz w:val="24"/>
          <w:szCs w:val="24"/>
          <w:lang w:val="ru-RU"/>
        </w:rPr>
      </w:pPr>
      <w:r>
        <w:rPr>
          <w:rFonts w:ascii="Times New Roman" w:hAnsi="Times New Roman" w:eastAsia="楷体"/>
          <w:bCs/>
          <w:kern w:val="0"/>
          <w:sz w:val="24"/>
          <w:szCs w:val="24"/>
          <w:lang w:val="ru-RU"/>
        </w:rPr>
        <w:t>Всекитайского Собрания</w:t>
      </w:r>
    </w:p>
    <w:p>
      <w:pPr>
        <w:widowControl/>
        <w:adjustRightInd w:val="0"/>
        <w:snapToGrid w:val="0"/>
        <w:jc w:val="center"/>
        <w:rPr>
          <w:rFonts w:ascii="Times New Roman" w:hAnsi="Times New Roman" w:eastAsia="楷体"/>
          <w:bCs/>
          <w:kern w:val="0"/>
          <w:sz w:val="24"/>
          <w:szCs w:val="24"/>
          <w:lang w:val="ru-RU"/>
        </w:rPr>
      </w:pPr>
      <w:r>
        <w:rPr>
          <w:rFonts w:ascii="Times New Roman" w:hAnsi="Times New Roman" w:eastAsia="楷体"/>
          <w:bCs/>
          <w:kern w:val="0"/>
          <w:sz w:val="24"/>
          <w:szCs w:val="24"/>
          <w:lang w:val="ru-RU"/>
        </w:rPr>
        <w:t>народных представителей 1</w:t>
      </w:r>
      <w:r>
        <w:rPr>
          <w:rFonts w:hint="eastAsia" w:ascii="Times New Roman" w:hAnsi="Times New Roman" w:eastAsia="楷体"/>
          <w:bCs/>
          <w:kern w:val="0"/>
          <w:sz w:val="24"/>
          <w:szCs w:val="24"/>
          <w:lang w:val="ru-RU"/>
        </w:rPr>
        <w:t>4</w:t>
      </w:r>
      <w:r>
        <w:rPr>
          <w:rFonts w:ascii="Times New Roman" w:hAnsi="Times New Roman" w:eastAsia="楷体"/>
          <w:bCs/>
          <w:kern w:val="0"/>
          <w:sz w:val="24"/>
          <w:szCs w:val="24"/>
          <w:lang w:val="ru-RU"/>
        </w:rPr>
        <w:t>-го созыва</w:t>
      </w:r>
    </w:p>
    <w:p>
      <w:pPr>
        <w:widowControl/>
        <w:adjustRightInd w:val="0"/>
        <w:snapToGrid w:val="0"/>
        <w:jc w:val="center"/>
        <w:rPr>
          <w:rFonts w:ascii="Times New Roman" w:hAnsi="Times New Roman" w:eastAsia="楷体"/>
          <w:bCs/>
          <w:kern w:val="0"/>
          <w:sz w:val="24"/>
          <w:szCs w:val="24"/>
          <w:lang w:val="ru-RU"/>
        </w:rPr>
      </w:pPr>
    </w:p>
    <w:p>
      <w:pPr>
        <w:widowControl/>
        <w:adjustRightInd w:val="0"/>
        <w:snapToGrid w:val="0"/>
        <w:jc w:val="center"/>
        <w:rPr>
          <w:rFonts w:ascii="Times New Roman" w:hAnsi="Times New Roman" w:eastAsia="楷体"/>
          <w:b/>
          <w:bCs/>
          <w:kern w:val="0"/>
          <w:sz w:val="28"/>
          <w:szCs w:val="28"/>
          <w:lang w:val="ru-RU"/>
        </w:rPr>
      </w:pPr>
    </w:p>
    <w:p>
      <w:pPr>
        <w:widowControl/>
        <w:adjustRightInd w:val="0"/>
        <w:snapToGrid w:val="0"/>
        <w:jc w:val="center"/>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widowControl/>
        <w:adjustRightInd w:val="0"/>
        <w:snapToGrid w:val="0"/>
        <w:jc w:val="left"/>
        <w:rPr>
          <w:rFonts w:ascii="Times New Roman" w:hAnsi="Times New Roman" w:eastAsia="楷体"/>
          <w:b/>
          <w:bCs/>
          <w:kern w:val="0"/>
          <w:sz w:val="28"/>
          <w:szCs w:val="28"/>
          <w:lang w:val="ru-RU"/>
        </w:rPr>
      </w:pPr>
    </w:p>
    <w:p>
      <w:pPr>
        <w:rPr>
          <w:lang w:val="ru-RU"/>
        </w:rPr>
      </w:pPr>
    </w:p>
    <w:p>
      <w:pPr>
        <w:widowControl/>
        <w:snapToGrid w:val="0"/>
        <w:spacing w:line="300" w:lineRule="auto"/>
        <w:jc w:val="left"/>
        <w:rPr>
          <w:rFonts w:hint="eastAsia" w:ascii="Times New Roman" w:hAnsi="Times New Roman" w:cs="Times New Roman"/>
          <w:b/>
          <w:sz w:val="24"/>
          <w:szCs w:val="24"/>
          <w:lang w:val="ru-RU"/>
        </w:rPr>
      </w:pPr>
    </w:p>
    <w:p>
      <w:pPr>
        <w:widowControl/>
        <w:snapToGrid w:val="0"/>
        <w:spacing w:line="300" w:lineRule="auto"/>
        <w:jc w:val="left"/>
        <w:rPr>
          <w:rFonts w:hint="eastAsia" w:ascii="Times New Roman" w:hAnsi="Times New Roman" w:cs="Times New Roman"/>
          <w:b/>
          <w:sz w:val="24"/>
          <w:szCs w:val="24"/>
          <w:lang w:val="ru-RU"/>
        </w:rPr>
      </w:pPr>
    </w:p>
    <w:p>
      <w:pPr>
        <w:widowControl/>
        <w:snapToGrid w:val="0"/>
        <w:spacing w:line="300" w:lineRule="auto"/>
        <w:jc w:val="left"/>
        <w:rPr>
          <w:rFonts w:hint="eastAsia" w:ascii="Times New Roman" w:hAnsi="Times New Roman" w:cs="Times New Roman"/>
          <w:b/>
          <w:sz w:val="24"/>
          <w:szCs w:val="24"/>
          <w:lang w:val="ru-RU"/>
        </w:rPr>
      </w:pPr>
    </w:p>
    <w:p>
      <w:pPr>
        <w:widowControl/>
        <w:snapToGrid w:val="0"/>
        <w:spacing w:line="300" w:lineRule="auto"/>
        <w:ind w:firstLine="360" w:firstLineChars="150"/>
        <w:jc w:val="left"/>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 поручению Госсовета представляем на рассмотрение 1-й сессии ВСНП 14-го созыва доклад об исполнении центрального и местных бюджетов за 2022 год и проекте центрального и местных бюджетов на 2023 год. Просим также членов Всекитайского комитета Народного политического консультативного совета Китая высказать по нему свои соображения.</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 1 \* ROMAN </w:instrText>
      </w:r>
      <w:r>
        <w:rPr>
          <w:rFonts w:ascii="Times New Roman" w:hAnsi="Times New Roman" w:cs="Times New Roman"/>
          <w:b/>
          <w:sz w:val="24"/>
          <w:szCs w:val="24"/>
          <w:lang w:val="ru-RU"/>
        </w:rPr>
        <w:fldChar w:fldCharType="separate"/>
      </w:r>
      <w:r>
        <w:rPr>
          <w:rFonts w:ascii="Times New Roman" w:hAnsi="Times New Roman" w:cs="Times New Roman"/>
          <w:b/>
          <w:sz w:val="24"/>
          <w:szCs w:val="24"/>
          <w:lang w:val="ru-RU"/>
        </w:rPr>
        <w:t>I</w:t>
      </w:r>
      <w:r>
        <w:rPr>
          <w:rFonts w:ascii="Times New Roman" w:hAnsi="Times New Roman" w:cs="Times New Roman"/>
          <w:b/>
          <w:sz w:val="24"/>
          <w:szCs w:val="24"/>
          <w:lang w:val="ru-RU"/>
        </w:rPr>
        <w:fldChar w:fldCharType="end"/>
      </w:r>
      <w:r>
        <w:rPr>
          <w:rFonts w:ascii="Times New Roman" w:hAnsi="Times New Roman" w:cs="Times New Roman"/>
          <w:b/>
          <w:sz w:val="24"/>
          <w:szCs w:val="24"/>
          <w:lang w:val="ru-RU"/>
        </w:rPr>
        <w:t>. ОБ ИСПОЛНЕНИИ ЦЕНТРАЛЬНОГО И</w:t>
      </w:r>
    </w:p>
    <w:p>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МЕСТНЫХ БЮДЖЕТОВ ЗА 2022 ГОД</w:t>
      </w:r>
    </w:p>
    <w:p>
      <w:pPr>
        <w:adjustRightInd w:val="0"/>
        <w:snapToGrid w:val="0"/>
        <w:spacing w:line="300" w:lineRule="auto"/>
        <w:jc w:val="center"/>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2022 год является весьма важным годом в истории партии и государства. На успешно состоявшемся XX съезде КПК была разработана грандиозная программа всестороннего строительства модернизированного социалистического государства, было указано направление и утверждено руководство к действию для развития дела партии и государства в новом походе в новую эпоху, а также для осуществления намеченной к столетию КНР цели. В истекшем году в условиях чрезвычайно суровой международной обстановки, перед лицом трудных и тяжелых задач по реформам, развитию и обеспечению стабильности в стране, под твердым руководством ЦК КПК, ядром которого является товарищ Си Цзиньпин, все районы и ведомства, руководствуясь идеями Си Цзиньпина о социализме с китайской спецификой новой эпохи, углубленно претворяли в жизнь дух XIX съезда КПК и всех пленумов ЦК КПК 19-го созыва, тщательно изучали и следовали духу XX съезда КПК. Они в соответствии с решениями и планами ЦК партии и Госсовета, твердо придерживаясь основного алгоритма работы – поступательного движения вперед при поддержании стабильности, всесторонне выполняли требования об осуществлении эффективного контроля за распространением эпидемии, стабилизации экономики и обеспечении безопасности развития, полно, точно и всесторонне претворяли в жизнь новую концепцию развития, инициативно формировали новую архитектонику развития, прилагали усилия для содействия высококачественному развитию, углубляли структурные реформы в сфере предложения. Они, комплексно анализируя внутреннюю и внешнюю обстановку, координируя работу по профилактике и контролю эпидемии COVID-19 и по обеспечению социально-экономического развития, в едином порядке продвигая работу в сфере развития и безопасности, неукоснительно исполняли рассмотренные и утвержденные на 5-й сессии ВСНП 13-го созыва бюджеты, наращивали динамику макрорегулирования, надлежащим образом реагировали на воздействие непредсказуемых факторов. В результате этого устойчиво повышалось качество развития, были достигнуты значительные успехи в научно-технических инновациях, всесторонне углублялись реформы и расширялась открытость, основательно продвигалось строительство прекрасного Китая, в целом отмечалась сбалансированность показателей в сфере занятости и товарных цен, эффективно обеспечивалась продовольственная и энергетическая безопасность, а также благосостояние народа, благодаря чему сохранялась социально-экономическая стабильность в целом.</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истекшем году финансовая работа столкнулась с многочисленными вызовами, функционирование финансов оказалось в состоянии напряженной сбалансированности, мы пережили довольно тяжелый период. В первом квартале стартовые экономические показатели были относительно стабильными, доходы обычного общественного бюджета по всей стране увеличились на 8,6%. Во втором квартале под влиянием повторной вспышки эпидемии, изменений международной обстановки и других факторов резко обострился прессинг, вызванный нисходящим трендом в экономике. К этому также прибавилось влияние осуществления масштабных политических мер по возврату превышения «входящего» НДС над «исходящим», что привело к значительному сокращению финансовых доходов, в частности в апреле 2022 года доходы обычного общественного бюджета по всей стране уменьшились на 41,3%. После опубликования и реализации целого пакета политических установок по стабилизации экономики и последующих мер тенденция к спаду экономики была сдержана, темпы падения финансовых доходов в мае и в июне сократились до 32,5% и 10,5% соответственно. К тому же, после произведения в первом полугодии возврата большей части налоговой переплаты в рамках масштабной реализации вышеупомянутых мер, во второй половине года стала налаживаться ситуация с финансовыми доходами, в августе начался переход от их отрицательного роста к положительному, поступления в бюджет увеличились на 5,6%, и в период после сентября темпы их роста продолжали восстанавливаться. В ходе исполнения бюджетов финансовые органы, решительно следуя решениям и планам ЦК партии и Госсовета, активно предпринимая меры по противодействию изменениям в обстановке и трудностям, усиливали анализ, исследование и оценку экономической ситуации и состояния финансовых доходов и расходов, интенсифицировали единое управление бюджетными ресурсами. Разными способами вводили в оборот государственные активы и ресурсы, своевременно упорядочивали переходящие и неизрасходованные средства с целью их возврата в бюджет, применяли научно обоснованные меры для распределения казначейских средств, строго соблюдали режим экономии, всемерно обеспечивали приоритетные выплаты на благосостояние народа и т.д., значительно ужесточали финансово-экономическую дисциплину. Таким образом, в 2022 году ситуация с исполнением бюджетов по всей стране в основном отвечает реальным условиям экономического развития, центральные финансовые доходы и расходы соответствовали бюджетным показателям, при этом наблюдались небольшие остатки в расходах, таким образом были обеспечены необходимые финансовые гарантии для эффективного координирования работы по профилактике и контролю эпидемии и по социально-экономическому развитию.</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1. О состоянии доходов и расходов обычного общественного бюджета за 2022 год</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1) Об исполнении обычного общественного бюджета по всей стране</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Доходы обычного общественного бюджета по всей стране достигли 20370,348 млрд юаней и составили 96,9% от намеченного бюджетом показателя, увеличившись по сравнению с 2021 годом на 0,6%. В том числе налоговые поступления составили 16661,396 млрд юаней, сократившись на 3,5%; неналоговые поступления составили 3708,952 млрд юаней с увеличением на 24,4%, это произошло главным образом благодаря вводу в оборот накопленных ресурсов и активов, значительному росту доходов от платного пользования государственными ресурсами (активами) и т.д. С учетом перечисленных средств из фонда стабилизации и регулирования бюджетов, из бюджета правительственных фондов и бюджета хозяйствования госкапиталом, а также переходящих остатков и неиспользованных средств в общем размере 2454,1 млрд юаней, общий объем доходов составил 22824,448 млрд юаней. Расходы обычного общественного бюджета по всей стране достигли 26060,917 млрд юаней, составив 97,6% от предусмотренного бюджетом показателя и увеличившись на 6,1%. С учетом 118,531 млрд юаней, выделенных на пополнение фонда стабилизации и регулирования центрального бюджета, а также перечисленных в бюджет правительственных фондов 15 млрд юаней, общий объем расходов составил 26194,448 млрд юаней. Сопоставление доходов и расходов показывает дефицит в размере 3370 млрд юаней, что соответствует бюджетному показателю.</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2) Об исполнении центрального обычного общественного бюджета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Доходы центрального обычного общественного бюджета достигли 9488,498 млрд юаней, что составило 100% от намеченного бюджетом показателя с увеличением на 3,8%. С учетом 276,5 млрд юаней, перечисленных из фонда стабилизации и регулирования центрального бюджета, и 990 млрд юаней из бюджета центральных правительственных фондов и бюджета хозяйствования центральным госкапиталом, общий объем доходов составил 10754,998 млрд юаней. Расходы центрального обычного общественного бюджета составили 13271,467 млрд юаней или 99% от предусмотренного бюджетом показателя с увеличением на 13,3%, это главным образом объясняется увеличением трансфертных платежей в местные бюджеты. В том числе, собственные расходы данного бюджета достигли 3556,992 млрд юаней, составив 100% от запланированного бюджетом показателя и увеличившись на 3,9%. Трансфертные платежи в местные бюджеты достигли 9714,475 млрд юаней или 99,2% от предусмотренного бюджетом показателя, увеличившись на 17,1% (прирост составил 6,8% за вычетом единовременных целевых трансфертов на оказание поддержки низовым структурам в реализации мер по сокращению налогов и сборов, на приоритетные проекты по улучшению жизни народа и т.д.). С учетом 118,531 млрд юаней, поступивших на пополнение фонда стабилизации и регулирования центрального бюджета, а также перечисленных в бюджет центральных правительственных фондов 15 млрд юаней, общий объем расходов составил 13404,998 млрд юаней. Сопоставление доходов и расходов показывает дефицит в размере 2650 млрд юаней, что равняется бюджетному показателю.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Конкретные показатели исполнения центрального обычного общественного бюджета по основным доходным статьям: поступления от НДС внутри страны составили 2425,505 млрд юаней или 77,1% от намеченного бюджетом показателя, это главным образом объясняется тем, что значительно уменьшились доходы за текущий период в результате действенного осуществления мер по возврату превышения «входящего» НДС над «исходящим». Поступления от акцизов внутри страны достигли 1669,881 млрд юаней или 111,6% от предусмотренного бюджетом показателя, главным образом, благодаря увеличению акцизов на рафинированные нефтепродукты, табачные изделия и т.д. Доходы от подоходного налога с предприятий составили 2786,645 млрд юаней или 97,4% от предусмотренного бюджетом показателя. Доходы от личного подоходного налога достигли 895,377 млрд юаней, составив 96,8% от запланированного бюджетом показателя. Поступления от таможенных пошлин составили 286,029 млрд юаней или 98% от предусмотренного бюджетом показателя. Поступления от НДС и акцизов на импортные товары достигли 1999,478 млрд юаней или 109,9% от намеченного бюджетом показателя, что в основном обусловлено ростом цен на основные виды товаров и превысившим ожидания ростом импорта в обычной торговле.</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Конкретные показатели собственных расходов центрального обычного общественного бюджета по основным статьям: расходы на обычные общественные услуги составили 157,854 млрд юаней или 104,7% от намеченного бюджетом показателя. Расходы на дипломатическую деятельность – 48,883 млрд юаней или 97,2% от предусмотренного бюджетом показателя. Расходы на национальную оборону – 1449,963 млрд юаней или 100% от намеченного бюджетом показателя. Расходы на обеспечение общественной безопасности – 196,464 млрд юаней или 100,8% от предусмотренного бюджетом показателя. Расходы на образование – 152,426 млрд юаней или 99,9% от намеченного бюджетом показателя. Расходы на науку и технику – 321,552 млрд юаней или 100,9% от запланированного бюджетом показателя. Расходы на создание резервов зерновых, масла и других материальных ресурсов – 116,934 млрд юаней или 102,9% от запланированного бюджетом показателя. Расходы на выплату процентов по долговым обязательствам – 652,399 млрд юаней или 102,2% от предусмотренного бюджетом показателя. </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Конкретные показатели трансфертных платежей из центрального бюджета в местные: обычные трансферты достигли 8099,423 млрд юаней или 98,6% от намеченного бюджетом показателя; целевые трансферты составили 761,703 млрд юаней или 97,2% от запланированного бюджетом показателя. Кроме того, единовременные целевые трансферты, направленные на оказание поддержки низовым структурам в реализации мер по сокращению налогов и сборов и на приоритетные проекты по улучшению жизни народа, достигли 853,349 млрд юаней, составив 106,7% от намеченного бюджетом показателя.</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В 2022 году сверхбюджетные доходы центрального обычного общественного бюджета в размере 498 млн юаней и неизрасходованные средства в размере 118,033 млрд юаней были полностью использованы для пополнения фонда стабилизации и регулирования центрального бюджета. Из резервных средств центрального бюджета на сумму 50 млрд юаней фактически были выделены 11 млрд юаней, которые были преимущественно направлены на оказание поддержки местам в качественном выполнении работы по борьбе с засухами, ликвидации их последствий и т.д., а остатки в размере 39 млрд юаней (уже включены в вышеизложенные неизрасходованные средства в размере 118,033 млрд юаней) были в полном объеме использованы для пополнения фонда стабилизации и регулирования центрального бюджета. С учетом 510 млн юаней, поступивших на пополнение этого фонда из переходящих остатков и неиспользованных средств центральных правительственных фондов, к концу 2022 года остатки фонда стабилизации и регулирования центрального бюджета достигли 235,163 млрд юаней. </w:t>
      </w:r>
    </w:p>
    <w:p>
      <w:pPr>
        <w:adjustRightInd w:val="0"/>
        <w:snapToGrid w:val="0"/>
        <w:spacing w:line="300" w:lineRule="auto"/>
        <w:ind w:firstLine="482"/>
        <w:rPr>
          <w:rFonts w:ascii="Times New Roman" w:hAnsi="Times New Roman" w:cs="Times New Roman"/>
          <w:b/>
          <w:sz w:val="24"/>
          <w:szCs w:val="24"/>
          <w:lang w:val="ru-RU"/>
        </w:rPr>
      </w:pPr>
      <w:r>
        <w:rPr>
          <w:rFonts w:ascii="Times New Roman" w:hAnsi="Times New Roman" w:cs="Times New Roman"/>
          <w:b/>
          <w:sz w:val="24"/>
          <w:szCs w:val="24"/>
          <w:lang w:val="ru-RU"/>
        </w:rPr>
        <w:t>3) Об исполнении местных обычных общественных бюджетов</w:t>
      </w:r>
    </w:p>
    <w:p>
      <w:pPr>
        <w:adjustRightInd w:val="0"/>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Доходы местных обычных общественных бюджетов достигли 20596,325 млрд юаней, в том числе их собственные доходы составили 10881,85 млрд юаней, снизившись на 2,1%; доходы от трансфертных платежей из центрального бюджета на места составили 9714,475 млрд юаней. С учетом 1187,6 млрд юаней, в которые входят перечисленные средства из фондов стабилизации и регулирования местных бюджетов, из бюджетов местных правительственных фондов и бюджетов хозяйствования госкапиталом, а также переходящие остатки и неиспользованные средства предыдущего года, общая сумма доходов достигла 21783,925 млрд юаней. Расходы местных обычных общественных бюджетов составили 22503,925 млрд юаней с увеличением на 6,4%. Сопоставление доходов и расходов показывает дефицит местных бюджетов в размере 720 млрд юаней, что соответствует бюджетному показателю.</w:t>
      </w:r>
    </w:p>
    <w:p>
      <w:pPr>
        <w:adjustRightInd w:val="0"/>
        <w:snapToGrid w:val="0"/>
        <w:spacing w:line="300" w:lineRule="auto"/>
        <w:ind w:firstLine="482"/>
        <w:rPr>
          <w:rFonts w:ascii="Times New Roman" w:hAnsi="Times New Roman" w:cs="Times New Roman"/>
          <w:b/>
          <w:sz w:val="24"/>
          <w:szCs w:val="24"/>
          <w:lang w:val="ru-RU"/>
        </w:rPr>
      </w:pPr>
      <w:r>
        <w:rPr>
          <w:rFonts w:ascii="Times New Roman" w:hAnsi="Times New Roman" w:cs="Times New Roman"/>
          <w:b/>
          <w:sz w:val="24"/>
          <w:szCs w:val="24"/>
          <w:lang w:val="ru-RU"/>
        </w:rPr>
        <w:t>2. О состоянии доходов и расходов бюджета правительственных фондов за 2022 год</w:t>
      </w:r>
    </w:p>
    <w:p>
      <w:pPr>
        <w:adjustRightInd w:val="0"/>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Поступления в бюджет правительственных фондов по всей стране достигли 7787,934 млрд юаней, что составило 79% от намеченного бюджетом показателя со снижением на 20,6%, это главным образом обусловлено уменьшением доходов от передачи прав на пользование государственными земельными участками. С учетом переходящих остатков бюджета 2021 года в размере 35,468 млрд юаней, аккумулированных местными правительствами посредством выпуска целевых облигаций средств в размере 3650 млрд юаней, перечисленных из обычного общественного бюджета средств в размере 15 млрд юаней, а также отчислений от прибыли специально назначенных государственных финансовых учреждений и организации государственной монополии в размере 1810 млрд юаней, общий объем доходов данного бюджета достиг 13298,402 млрд юаней. Расходы бюджета правительственных фондов по всей стране составили 11058,328 млрд юаней или 79,6% от намеченного бюджетом показателя, снизившись на 2,5%, это главным образом объясняется тем, что сокращение доходов от передачи прав на пользование государственными земельными участками привело к уменьшению соответствующих расходов.  </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Доходы бюджета центральных правительственных фондов составили 412,399 млрд юаней или 97,8% от намеченного бюджетом показателя, увеличившись на 3%. С учетом переходящих остатков бюджета 2021 года, перечисленных в данный бюджет средств, а также отчислений от прибыли специально назначенных государственных финансовых учреждений и организации государственной монополии, общий объем доходов достиг 2272,867 млрд юаней. Расходы бюджета центральных правительственных фондов достигли 633,048 млрд юаней, что составило 78,4% от предусмотренного бюджетом показателя, это обусловлено в первую очередь тем, что расходы за счет доходов от введения дополнительных тарифов на электроэнергию, выработанную из возобновляемых источников энергии, оказались меньше предполагаемых. В том числе собственные расходы бюджета составили 554,379 млрд юаней, трансфертные платежи в местные бюджеты – 78,669 млрд юаней. Объем перечисленных средств в центральный обычный общественный бюджет составил 900 млрд юаней. Активное сальдо бюджетного баланса центральных правительственных фондов составило 739,819 млрд юаней. Из них 739,309 млрд юаней (включая переходящие средства в размере 710 млрд юаней из отчислений от прибыли специально назначенных государственных финансовых учреждений и организации государственной монополии) было перечислено в бюджет 2023 года, 510 млн юаней в установленном порядке было направлено на пополнение фонда стабилизации и регулирования центрального бюджета.</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Собственные поступления в бюджеты местных правительственных фондов достигли 7375,535 млрд юаней со снижением на 21,6%, что главным образом объясняется уменьшением доходов от передачи прав на пользование государственными земельными участками. С учетом трансфертов из бюджета центральных правительственных фондов на места в размере 78,669 млрд юаней и аккумулированных местными правительствами посредством выпуска целевых облигаций средств в размере 3650 млрд юаней, общий объем поступлений в бюджеты местных правительственных фондов составил 11104,204 млрд юаней. Выплаты из данных бюджетов составили 10503,949 млрд юаней, снизившись на 4,7%, это главным образом обусловлено тем, что сокращение доходов от передачи прав на пользование государственными земельными участками привело к уменьшению соответствующих расходов. </w:t>
      </w:r>
    </w:p>
    <w:p>
      <w:pPr>
        <w:snapToGrid w:val="0"/>
        <w:spacing w:line="300" w:lineRule="auto"/>
        <w:ind w:firstLine="482"/>
        <w:rPr>
          <w:rFonts w:ascii="Times New Roman" w:hAnsi="Times New Roman" w:cs="Times New Roman"/>
          <w:b/>
          <w:sz w:val="24"/>
          <w:szCs w:val="24"/>
          <w:lang w:val="ru-RU"/>
        </w:rPr>
      </w:pPr>
      <w:r>
        <w:rPr>
          <w:rFonts w:ascii="Times New Roman" w:hAnsi="Times New Roman" w:cs="Times New Roman"/>
          <w:b/>
          <w:sz w:val="24"/>
          <w:szCs w:val="24"/>
          <w:lang w:val="ru-RU"/>
        </w:rPr>
        <w:t>3. О состоянии доходов и расходов бюджета хозяйствования госкапиталом за 2022 год</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В соответствии с установками об управлении бюджетом хозяйствования госкапиталом доходы данного бюджета главным образом отчисляются по определенной пропорции от чистой прибыли госпредприятий в истекшем году, а соответствующие расходы данного бюджета планируются по принципу равновесия доходов и расходов.</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Общие поступления в бюджет хозяйствования госкапиталом по всей стране составили 568,86 млрд юаней или 110,9% от предусмотренного бюджетом показателя, увеличившись на 10%, это главным образом обусловлено тем, что прибыль госпредприятий в 2021 году оказалась выше ожиданий. А общие выплаты из данного бюджета достигли 339,532 млрд юаней, что составило 96,5% от намеченного бюджетом показателя с приростом 29,5%, это главным образом объясняется увеличением расходов на обеспечение стабильности производственных цепочек и цепочек поставок и т.д.</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Поступления в бюджет хозяйствования центральным госкапиталом достигли 234,331 млрд юаней, составив 103,3% от намеченного бюджетом показателя с увеличением на 17,2%, это главным образом обусловлено тем, что прибыль госпредприятий в 2021 году оказалась выше ожиданий. С учетом переходящих остатков бюджета 2021 года в размере 35,561 млрд юаней общий объем доходов достиг 269,892 млрд юаней. А выплаты из бюджета хозяйствования центральным госкапиталом составили 171 млрд юаней или 99,2% от предусмотренного бюджетом показателя, увеличившись на 60,6%, это главным образом объясняется увеличением финансовой поддержки для обеспечения стабильности производственных цепочек и цепочек поставок и т.д. Среди них собственные расходы составили 166,102 млрд юаней, трансферты в местные бюджеты – 4,898 млрд юаней. Объем перечисленных средств в центральный обычный общественный бюджет составил 90 млрд юаней. 8,892 млрд юаней было перечислено в бюджет следующего года. Это обусловлено главным образом тем, что в ходе исполнения бюджета наблюдалась определенная сумма сверхсметных доходов, которая была в установленном порядке перечислена в бюджет следующего года. </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Собственные доходы бюджетов хозяйствования местным госкапиталом достигли 334,529 млрд юаней, увеличившись на 5,5%. С учетом трансфертных платежей из бюджета хозяйствования центральным госкапиталом на места в размере 4,898 млрд юаней и переходящих средств из бюджетов 2021 года в размере 13,302 млрд юаней, общая сумма поступлений в бюджеты хозяйствования местным госкапиталом составила 352,729 млрд юаней. Выплаты из данных бюджетов составили 173,43 млрд юаней с приростом 2,2%. Сумма переходящих в местные обычные общественные бюджеты средств составила 160,65 млрд юаней. А сумма средств, перечисленных в бюджеты следующего года, составила 18,649 млрд юаней. </w:t>
      </w:r>
    </w:p>
    <w:p>
      <w:pPr>
        <w:snapToGrid w:val="0"/>
        <w:spacing w:line="300" w:lineRule="auto"/>
        <w:ind w:firstLine="482"/>
        <w:rPr>
          <w:rFonts w:ascii="Times New Roman" w:hAnsi="Times New Roman" w:cs="Times New Roman"/>
          <w:b/>
          <w:sz w:val="24"/>
          <w:szCs w:val="24"/>
          <w:lang w:val="ru-RU"/>
        </w:rPr>
      </w:pPr>
      <w:r>
        <w:rPr>
          <w:rFonts w:ascii="Times New Roman" w:hAnsi="Times New Roman" w:cs="Times New Roman"/>
          <w:b/>
          <w:sz w:val="24"/>
          <w:szCs w:val="24"/>
          <w:lang w:val="ru-RU"/>
        </w:rPr>
        <w:t>4. О состоянии доходов и расходов бюджета фондов социального страхования за 2022 год</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Поступления в бюджет фондов социального страхования по всей стране достигли 10152,298 млрд юаней или 101,2% от намеченного бюджетом показателя, увеличившись на 4,8%. В том числе доходы от страховых взносов составили 7316,974 млрд юаней с увеличением на 5,9%, доходы от финансовых дотаций – 2368,217 млрд юаней с приростом 4,8%. Выплаты из бюджета фондов социального страхования по всей стране достигли 9145,311 млрд юаней, что составило 99% от предусмотренного бюджетом показателя с увеличением на 5,5%. Активное сальдо баланса данного бюджета за 2022 год составило 1006,987 млрд юаней, а накопленные остатки к концу данного года достигли 11478,946 млрд юаней.</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Поступления в бюджет центральных фондов социального страхования составили 37,62 млрд юаней или 88,2% от намеченного бюджетом показателя; а выплаты из данного бюджета составили 36,352 млрд юаней или 73,1% от намеченного бюджетом показателя. Это объясняется главным образом тем, что еще не завершились расчетные операции в подготовительный период к введению страхования по старости в некоторых центральных органах и бюджетных учреждениях. В рамках внедрения системы единого по всей стране планирования фондов базового страхования по старости для рабочих и служащих предприятий местные отчисления составили 243,959 млрд юаней, а центральные ассигнования – 244,044 млрд юаней (разница между ними составила 85 млн юаней, это объясняется тем, что возникли остатки в результате использования процентных доходов от средств на регулирование по всей стране данных фондов в предыдущем году). Кроме того, были использованы остатки неизрасходованных средств бюджета в размере 8,2 млрд юаней для разрешения особых трудностей в некоторых местах, связанных с фондами страхования по старости. С учетом вышеуказанных факторов пассивное сальдо бюджетного баланса центральных фондов социального страхования за 2022 год составило 7,017 млрд юаней, а накопленные остатки к концу года составили 12,812 млрд юаней.</w:t>
      </w:r>
    </w:p>
    <w:p>
      <w:pPr>
        <w:snapToGrid w:val="0"/>
        <w:spacing w:line="30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Поступления в бюджеты местных фондов социального страхования достигли 10114,678 млрд юаней, выплаты из данных бюджетов составили 9108,959 млрд юаней. С учетом вышеизложенной разницы между местными отчислениями и центральными ассигнованиями в размере 85 млн юаней и субсидий из центрального бюджета нижестоящим инстанциям в размере 8,2 млрд юаней, активное сальдо бюджетного баланса за 2022 год составило 1014,004 млрд юаней, а накопленные остатки к концу этого года достигли 11466,134 млрд юаней. Благодаря проведению центрального регулирования административные единицы провинциального уровня со старыми промышленными базами, расположенные в центральных, западных, северо-восточных и других регионах, получили выгоду в размере 244,044 млрд юаней.</w:t>
      </w:r>
    </w:p>
    <w:p>
      <w:pPr>
        <w:snapToGrid w:val="0"/>
        <w:spacing w:line="300" w:lineRule="auto"/>
        <w:ind w:firstLine="420"/>
        <w:rPr>
          <w:rFonts w:ascii="Times New Roman" w:hAnsi="Times New Roman" w:eastAsia="宋体" w:cs="Times New Roman"/>
          <w:b/>
          <w:bCs/>
          <w:color w:val="000000"/>
          <w:kern w:val="0"/>
          <w:sz w:val="24"/>
          <w:szCs w:val="24"/>
          <w:lang w:val="ru-RU"/>
        </w:rPr>
      </w:pPr>
      <w:r>
        <w:rPr>
          <w:rFonts w:ascii="Times New Roman" w:hAnsi="Times New Roman" w:cs="Times New Roman"/>
          <w:sz w:val="24"/>
          <w:szCs w:val="24"/>
          <w:lang w:val="ru-RU"/>
        </w:rPr>
        <w:t xml:space="preserve">К концу 2022 года накопившаяся сумма госдолга центрального бюджета составила 25869,276 млрд юаней, не превысив утвержденный ВСНП лимит в размере 26700,835 млрд юаней. Это обусловлено главным образом тем, что при удовлетворении потребностей в выплатах, в соответствии с изменениями объема казначейских средств и рынка в разумной мере были сокращены квоты на выпуск госзаймов с целью облегчения нагрузки по процентным выплатам. Накопленная сумма долга местных правительств достигла 35065,1 млрд юаней, в том числе остатки обычных долгов составили 14394,469 млрд юаней, остатки целевых долгов – 20670,631 млрд юаней, не превысив установленный ВСНП лимит в размере 37647,43 млрд юаней. Это объясняется главным образом тем, что в некоторых районах была возмещена часть непогашенных долгов местных правительств за счет выделения бюджетных средств, предназначенных для возврата займов, а также посредством других способов. </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5. О реализации основной финансово-налоговой политики и выполнении приоритетных задач финансовой работы в 2022 году</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В 2022 году финансовые органы со всей серьезностью претворяли в жизнь решения и планы ЦК КПК и Госсовета, в соответствии с Законом о бюджете и положениями о его применении, а также Руководящими указаниями о перенесении центра тяжести работы СНП по бюджетной проверке и контролю на расходные сметы и расходную политику реализовывали бюджетные резолюции ВСНП и его замечания по результатам рассмотрения, при осуществлении активной финансовой политики продолжали стремиться к повышению ее эффективности, уделяли большее внимание ее точности и устойчивости, осуществляли комбинированную политику поддержки в области налогов и сборов, форсировали процесс исполнения бюджетов и усиливали обеспечение приоритетных сфер, как можно раньше применяли разные политустановки в области финансов, интенсифицировали их согласование с монетарной и политикой в других сферах, тем самым стимулировали переход к стабилизации экономики и ее положительному росту в целом. </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Наращивание динамики реализации активной финансовой политики, сосредоточение усилий на стабилизации общей экономической ситуации.</w:t>
      </w:r>
      <w:r>
        <w:rPr>
          <w:rFonts w:ascii="Times New Roman" w:hAnsi="Times New Roman" w:cs="Times New Roman"/>
          <w:sz w:val="24"/>
          <w:szCs w:val="24"/>
          <w:lang w:val="ru-RU"/>
        </w:rPr>
        <w:t xml:space="preserve"> </w:t>
      </w:r>
      <w:r>
        <w:rPr>
          <w:rFonts w:ascii="Times New Roman" w:hAnsi="Times New Roman" w:cs="Times New Roman"/>
          <w:b/>
          <w:i/>
          <w:sz w:val="24"/>
          <w:szCs w:val="24"/>
          <w:lang w:val="ru-RU"/>
        </w:rPr>
        <w:t>Действенно и тщательно претворялась в жизнь комбинированная политика поддержки в области налогов и сборов.</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Наращивалась динамика и ускорялись темпы реализации широкомасштабной политики по возврату превышения «входящего» НДС над «исходящим». В частности, в апреле 2022 года все малые и микропредприятия, а также обрабатывающая промышленность и другие пять отраслей, отвечающие необходимым условиям, были включены в сферу применения данной политики. К середине года данной политикой было охвачено еще семь отраслей, в том числе оптовая и розничная торговля. В приоритетном порядке был произведен возврат переплаты для малых и микропредприятий, возврат всей накопленной налоговой переплаты для средних и крупных предприятий был осуществлен значительно раньше установленного срока, благодаря чему было обеспечено завершение возврата большей части налогов за первое полугодие. Были опубликованы и осуществлены политические меры по сокращению налогов и сборов, таких как освобождение на определенный период малых налогоплательщиков от уплаты НДС, расширение сферы применения политики по уменьшению или отмене налога на природные ресурсы, налога на градостроительство, налога на недвижимость, налога на пользование городскими и поселковыми земельными участками, гербового налога (не включая гербовый сбор по операциям с ценными бумагами), налога на пользование пахотными участками не по целевому назначению, дополнительных сборов на нужды образования и местных дополнительных сборов на нужды образования, а также отсрочка на определенное время уплаты социальных страховых взносов, отсрочка по уплате части административных сборов и денежных залогов. Были развернуты целевые мероприятия по пресечению нарушений правил при взимании сборов с предприятий, на основе закона велась борьба с уклонением от уплаты налогов и налоговым мошенничеством. За 2022 год общий объем сокращенных налогов и сборов, возвращенных налогов, отсроченных налогов и сборов превысил 4,2 трлн юаней, в частности, общая сумма переплаты НДС, возвращенная в счет налогоплательщиков, составила 2,46 трлн юаней, что более чем в 3,8 раза превысило данный показатель 2021 года. Общий объем сокращенных налогов и сборов превысил 1 трлн юаней, в том числе объем сокращенных налогов – 800 млрд юаней, объем сокращенных сборов – 200 млрд юаней. Общая сумма отсроченных от уплаты налогов и сборов составила более 750 млрд юаней. </w:t>
      </w:r>
      <w:r>
        <w:rPr>
          <w:rFonts w:ascii="Times New Roman" w:hAnsi="Times New Roman" w:cs="Times New Roman"/>
          <w:b/>
          <w:i/>
          <w:sz w:val="24"/>
          <w:szCs w:val="24"/>
          <w:lang w:val="ru-RU"/>
        </w:rPr>
        <w:t>Была оказана поддержка в стабилизации капиталовложений и стимулировании потребления.</w:t>
      </w:r>
      <w:r>
        <w:rPr>
          <w:rFonts w:ascii="Times New Roman" w:hAnsi="Times New Roman" w:cs="Times New Roman"/>
          <w:sz w:val="24"/>
          <w:szCs w:val="24"/>
          <w:lang w:val="ru-RU"/>
        </w:rPr>
        <w:t xml:space="preserve"> В четвертом квартале 2021 года в соответствии с законом был досрочно утвержден лимит целевых облигаций местных правительств на 2022 год в размере 1,46 трлн юаней, к концу марта 2022 года в полном объеме был распределен лимит целевых облигаций для строительства объектов в размере 3,45 трлн юаней, к концу июня была в основном завершена эмиссия облигаций местными правительствами. На основе закона был введен в оборот и эффективно использован накопленный лимит целевых долгов на сумму 502,9 млрд юаней, их эмиссия была в основном завершена местными правительствами. Ускорился процесс выделения инвестиций из центрального бюджета, увеличились капиталовложения в такие приоритетные сферы, как продовольствие, энергетика и др. С помощью разработки политики бюджетного субсидирования процентных ставок по кредитам была оказана поддержка акционерному инвестированию, которое является одним из директивных финансовых инструментов и финансовых инструментов развития. Посредством компенсации процентных ставок по кредитам, предназначенным для обновления и реконструкции оборудования, была предоставлена поддержка обрабатывающей промышленности, сфере услуг, сфере социального обслуживания и некоторым другим отраслям. На определенный период был уменьшен налог на приобретение части пассажирских автомобилей, продолжалась реализация политики по освобождению покупателей автомобилей на новых источниках энергии от уплаты налога на приобретение, покупатели данного типа автомобилей также были освобождены от уплаты налога на эксплуатацию автомобильного и водного транспорта. </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Усиление финансового обеспечения работы по профилактике и контролю эпидемии</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COVID-19</w:t>
      </w:r>
      <w:r>
        <w:rPr>
          <w:rFonts w:ascii="Times New Roman" w:hAnsi="Times New Roman" w:cs="Times New Roman"/>
          <w:sz w:val="24"/>
          <w:szCs w:val="24"/>
          <w:lang w:val="ru-RU"/>
        </w:rPr>
        <w:t>,</w:t>
      </w:r>
      <w:r>
        <w:rPr>
          <w:rFonts w:ascii="Times New Roman" w:hAnsi="Times New Roman" w:cs="Times New Roman"/>
          <w:b/>
          <w:sz w:val="24"/>
          <w:szCs w:val="24"/>
          <w:lang w:val="ru-RU"/>
        </w:rPr>
        <w:t xml:space="preserve"> оказание поддержки в высококачественном координировании этой работы с работой по обеспечению социально-экономического развития. </w:t>
      </w:r>
      <w:r>
        <w:rPr>
          <w:rFonts w:ascii="Times New Roman" w:hAnsi="Times New Roman" w:cs="Times New Roman"/>
          <w:b/>
          <w:i/>
          <w:sz w:val="24"/>
          <w:szCs w:val="24"/>
          <w:lang w:val="ru-RU"/>
        </w:rPr>
        <w:t>Была оказана всемерная поддержка работе по профилактике и контролю эпидемии.</w:t>
      </w:r>
      <w:r>
        <w:rPr>
          <w:rFonts w:ascii="Times New Roman" w:hAnsi="Times New Roman" w:cs="Times New Roman"/>
          <w:sz w:val="24"/>
          <w:szCs w:val="24"/>
          <w:lang w:val="ru-RU"/>
        </w:rPr>
        <w:t xml:space="preserve"> Из центрального бюджета были своевременно распределены и выделены субсидии на оказание помощи местным правительствам в эффективном реагировании на локальные вспышки эпидемии, в надежном разрешении жизненных трудностей населения, пострадавшего от эпидемии. Вышеуказанные субсидии были также направлены на оказание приграничным районам поддержки в осуществлении более эффективных мер по профилактике и контролю эпидемии и укреплении стабильности в этих районах, на удовлетворение связанных с налаживанием противоэпидемической работы потребностей таможни и органов по делам миграции. В рамках поддержки проведения вакцинации против коронавируса COVID-19 были выделены бюджетные субсидии на возмещение 30% расходов фонда медстрахования на покупку вакцин и проведение вакцинации, в частности, восточным, центральным и западным районам страны из центрального бюджета были предоставлены ступенчатые субсидии, размеры которых составляли 30%, 40% и 50% соответственно. Всемерно обеспечивались необходимые расходы на профилактику и контроль эпидемии, в том числе на лечение пациентов, каждому медицинскому работнику передней линии борьбы с эпидемией и каждому участнику противоэпидемической работы, отвечающим соответствующим требованиям, ежедневно предоставлялись временные доплаты в размере 200 и 300 юаней соответственно. </w:t>
      </w:r>
      <w:r>
        <w:rPr>
          <w:rFonts w:ascii="Times New Roman" w:hAnsi="Times New Roman" w:cs="Times New Roman"/>
          <w:b/>
          <w:i/>
          <w:sz w:val="24"/>
          <w:szCs w:val="24"/>
          <w:lang w:val="ru-RU"/>
        </w:rPr>
        <w:t>Активизировалась работа по оказанию помощи особо выделенным отраслям и особо нуждающимся категориям населения.</w:t>
      </w:r>
      <w:r>
        <w:rPr>
          <w:rFonts w:ascii="Times New Roman" w:hAnsi="Times New Roman" w:cs="Times New Roman"/>
          <w:sz w:val="24"/>
          <w:szCs w:val="24"/>
          <w:lang w:val="ru-RU"/>
        </w:rPr>
        <w:t xml:space="preserve"> Был отменен НДС на услуги в сфере общественного транспорта и экспресс-доставки, на определенный период была предоставлена отсрочка по социальным страховым взносам в 22 испытывающих трудности сферах, таких как общественное питание, розничная торговля, туризм и др., а также отвечающим условиям средним, малым, микропредприятиям и др. Был еще продлен срок действия политики отсрочки по уплате налогов для обрабатывающей промышленности и ускорился процесс возврата налогов при экспорте продукции. Все вышеуказанные меры помогли субъектам рынка преодолеть трудности. Наращивалась динамика поддержки средних и малых предприятий за счет правительственных закупок. Государственный фонд финансовых гарантий увеличил объем перепоручительства более чем на 1 трлн юаней. Мы продолжали реализацию политических мер по снижению ставок взносов на страхование по безработице и страхование от производственного травматизма, повысили долю возврата взносов на страхование по безработице за сохранение рабочих мест для средних, малых и микропредприятий с 60% максимально до 90%, а для крупных предприятий – с 30% до 50%. Разработали политические установки по выдаче единовременных дотаций на профессиональное обучение с сохранением рабочих мест и единовременных дотаций на расширение занятости, оказали выпускникам вузов, сельским трудовым мигрантам и другим нуждающимся категориям населения помощь в предпринимательстве и трудоустройстве. Мы предоставили своевременную поддержку безработным и гражданам, которые нуждались во включении в систему обеспечения прожиточного минимума, а также лицам, испытывающим временные трудности, чтобы все нуждающиеся были охвачены системой социального обеспечения и получили минимальные жизненные гарантии.</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 xml:space="preserve">Усиление поддержки обеспечения устойчивого функционирования низовых бюджетов посредством финансирования и политических установок. </w:t>
      </w:r>
      <w:r>
        <w:rPr>
          <w:rFonts w:ascii="Times New Roman" w:hAnsi="Times New Roman" w:cs="Times New Roman"/>
          <w:b/>
          <w:i/>
          <w:sz w:val="24"/>
          <w:szCs w:val="24"/>
          <w:lang w:val="ru-RU"/>
        </w:rPr>
        <w:t>Центральный бюджет служил примером сокращения расходов, наращивал динамику делегирования вниз полномочий на распоряжение финансовыми средствами.</w:t>
      </w:r>
      <w:r>
        <w:rPr>
          <w:rFonts w:ascii="Times New Roman" w:hAnsi="Times New Roman" w:cs="Times New Roman"/>
          <w:sz w:val="24"/>
          <w:szCs w:val="24"/>
          <w:lang w:val="ru-RU"/>
        </w:rPr>
        <w:t xml:space="preserve"> Благодаря реализации требований соблюдения режима экономии партийными и правительственными органами расходы центральных ведомств уменьшились на 3,5%, сэкономленные средства были направлены на увеличение финансовой поддержки местам. За весь год трансфертные платежи из центрального бюджета в местные составили 9,71 трлн юаней, увеличившись на 1,42 трлн юаней или 17,1%, при этом отдавался приоритет районам, испытывающим финансовые трудности, и слаборазвитым районам, что предоставило местным правительствам, особенно уездным и районным, действенную гарантию для всесторонней реализации политики по возврату налогов, сокращению налогов и сборов, для надежного выполнения работы по «трем гарантиям» (гарантированию базового уровня народного благосостояния, выдачи заработной платы и функционирования правительственного аппарата) в низовых структурах. Наряду с этим, мы уделяли пристальное внимание функционированию местных бюджетов, усиливали классифицированное управление бюджетами особо выделенных уездов и районов, закрепляли ответственность провинций и городов, оказывали им содействие в своевременном выявлении и устранении рисков в работе по «трем гарантиям» в низовых структурах. </w:t>
      </w:r>
      <w:r>
        <w:rPr>
          <w:rFonts w:ascii="Times New Roman" w:hAnsi="Times New Roman" w:cs="Times New Roman"/>
          <w:b/>
          <w:i/>
          <w:sz w:val="24"/>
          <w:szCs w:val="24"/>
          <w:lang w:val="ru-RU"/>
        </w:rPr>
        <w:t>Была расширена сфера прямого перечисления бюджетных средств, чтобы гарантировать их надежное поступление в уездные и районные низовые бюджеты.</w:t>
      </w:r>
      <w:r>
        <w:rPr>
          <w:rFonts w:ascii="Times New Roman" w:hAnsi="Times New Roman" w:cs="Times New Roman"/>
          <w:sz w:val="24"/>
          <w:szCs w:val="24"/>
          <w:lang w:val="ru-RU"/>
        </w:rPr>
        <w:t xml:space="preserve"> Денежные средства, тесно связанные с функционированием уездных и районных финансов, были по возможности включены в сферу прямого перечисления, общая сумма напрямую перечисленных средств достигла 4,1 трлн юаней, составив более 40% от всех трансфертных платежей из центрального бюджета в местные. Центральный бюджет усовершенствовал порядок регистрации, усилил взаимодействие с ревизионными органами и компетентными органами соответствующих отраслей, создал систему дифференцированного контроля за денежными средствами, предотвращая подход ко всему с одной меркой. В результате этого напрямую перечисленные денежные средства в целом достаточно оперативно расходовались и эффективно использовались. </w:t>
      </w:r>
      <w:r>
        <w:rPr>
          <w:rFonts w:ascii="Times New Roman" w:hAnsi="Times New Roman" w:cs="Times New Roman"/>
          <w:b/>
          <w:i/>
          <w:sz w:val="24"/>
          <w:szCs w:val="24"/>
          <w:lang w:val="ru-RU"/>
        </w:rPr>
        <w:t>Мы уделяли равное внимание осуществлению контроля и предоставлению помощи, оказывая местным бюджетам содействие в предотвращении и устранении рисков.</w:t>
      </w:r>
      <w:r>
        <w:rPr>
          <w:rFonts w:ascii="Times New Roman" w:hAnsi="Times New Roman" w:cs="Times New Roman"/>
          <w:sz w:val="24"/>
          <w:szCs w:val="24"/>
          <w:lang w:val="ru-RU"/>
        </w:rPr>
        <w:t xml:space="preserve"> Центральный бюджет, рассматривая места с высоким риском долговых обязательств, с низкой обеспеченностью казначейских средств, с относительно слабыми финансовыми возможностями как наиболее нуждающиеся в контроле районы, своевременно предупреждал и оповещал их о потенциальных рисках. Значительно закреплялась ответственность местных правительств и ведомств, стимулировалось создание долгосрочного механизма предотвращения и устранения скрытых долговых рисков местных правительств, в Пекине, Шанхае, Гуандуне и других районах были развернуты пилотные проекты по достижению полного отсутствия скрытых долговых обязательств на всей их территории, были преданы гласности типичные случаи привлечения ответственности за скрытые долговые обязательства. Мы поощряли провинциальные правительства к усилению единого управления ресурсами и оказанию поддержки городам и уездам с высоким уровнем долговых рисков для облегчения их бремени с погашением долгов и выплатой процентов по ним. На основе ужесточения контроля за инвентаризацией имущества, учетом капитала и привлечением к ответственности виновных лиц уверенно продвигалась практика пополнения уставного капитала средних и малых банков за счет целевых облигаций. Была опубликована льготная налоговая политика на определенный период, оказана поддержка в налаживании работы по своевременной сдаче в эксплуатацию жилых зданий, обеспечению благосостояния народа, сохранению стабильности и т.д. </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 xml:space="preserve">Сохранение ведущей роли инноваций, стимулирование стабилизации производственных цепочек и цепочек поставок. </w:t>
      </w:r>
      <w:r>
        <w:rPr>
          <w:rFonts w:ascii="Times New Roman" w:hAnsi="Times New Roman" w:cs="Times New Roman"/>
          <w:b/>
          <w:i/>
          <w:sz w:val="24"/>
          <w:szCs w:val="24"/>
          <w:lang w:val="ru-RU"/>
        </w:rPr>
        <w:t>Была оказана поддержка в укреплении потенциала в сфере научно-технических инноваций.</w:t>
      </w:r>
      <w:r>
        <w:rPr>
          <w:rFonts w:ascii="Times New Roman" w:hAnsi="Times New Roman" w:cs="Times New Roman"/>
          <w:sz w:val="24"/>
          <w:szCs w:val="24"/>
          <w:lang w:val="ru-RU"/>
        </w:rPr>
        <w:t xml:space="preserve"> В 2022 году собственные расходы центрального обычного общественного бюджета на проведение фундаментальных исследований увеличились на 13,5%. Был разработан проект по финансовой поддержке государственных лабораторий, была оказана поддержка в построении второй группы государственных лабораторий. Всемерно гарантировалось предоставление необходимых денежных средств для совершения прорывов в разработке основных ключевых технологий, инновационного развития оборонной науки и техники, стимулировалось ускоренное осуществление таких важнейших научно-технических проектов, как развитие биоселекции в сельском хозяйстве. Реформировался и совершенствовался механизм финансирования центральным бюджетом научно-технических проектов невоенного назначения, были урегулированы и оптимизированы расходы на конкретные проекты, усиливалось управление основными расходами в соответствии со штатным составом и лимитами финансовых расходов. Совершенствовалась политика правительственных закупок, поддерживающая инновационную деятельность. </w:t>
      </w:r>
      <w:r>
        <w:rPr>
          <w:rFonts w:ascii="Times New Roman" w:hAnsi="Times New Roman" w:cs="Times New Roman"/>
          <w:b/>
          <w:i/>
          <w:sz w:val="24"/>
          <w:szCs w:val="24"/>
          <w:lang w:val="ru-RU"/>
        </w:rPr>
        <w:t xml:space="preserve">Пробуждалась и раскрывалась инновационная активность предприятий. </w:t>
      </w:r>
      <w:r>
        <w:rPr>
          <w:rFonts w:ascii="Times New Roman" w:hAnsi="Times New Roman" w:cs="Times New Roman"/>
          <w:sz w:val="24"/>
          <w:szCs w:val="24"/>
          <w:lang w:val="ru-RU"/>
        </w:rPr>
        <w:t xml:space="preserve">Предприятиям были предоставлены налоговые льготы за проведение фундаментальных исследований и покупку соответствующего оборудования, для средних и малых наукоемких предприятий повысился размер дополнительного налогового вычета по расходам на НИОКР до 100%, притом в определенный период данная политика распространилась на все отвечающие ее условиям отрасли. Продвигалось развитие средних и малых предприятий, отличающихся специализацией производства, детализацией управления, уникальностью продукции и активизацией инновационной деятельности, была оказана поддержка более 540 новым предприятиям – «малым гигантам» государственного уровня, которые соответствуют вышеуказанным условиям. Было оказано содействие в запуске пилотных проектов по цифровой трансформации средних и малых предприятий, были избраны 98 платформ общественных услуг, была оказана поддержка более 2000 пилотным предприятиям в цифровой трансформации. </w:t>
      </w:r>
      <w:r>
        <w:rPr>
          <w:rFonts w:ascii="Times New Roman" w:hAnsi="Times New Roman" w:cs="Times New Roman"/>
          <w:b/>
          <w:i/>
          <w:sz w:val="24"/>
          <w:szCs w:val="24"/>
          <w:lang w:val="ru-RU"/>
        </w:rPr>
        <w:t>Была оказана поддержка в укреплении стрессоустойчивости производственных цепочек и цепочек поставок.</w:t>
      </w:r>
      <w:r>
        <w:rPr>
          <w:rFonts w:ascii="Times New Roman" w:hAnsi="Times New Roman" w:cs="Times New Roman"/>
          <w:sz w:val="24"/>
          <w:szCs w:val="24"/>
          <w:lang w:val="ru-RU"/>
        </w:rPr>
        <w:t xml:space="preserve"> Эффективно использовались целевые средства на реконструкцию базовых отраслей производства и высококачественное развитие обрабатывающей промышленности, объединялись усилия для всемерного преодоления препятствий и восполнения пробелов в важнейших производственных цепочках. Было оказано содействие в обеспечении снабжения важными энергетическими и другими ресурсами и стабилизации цен на них, были предварительно выделены субсидии на развитие возобновляемых энергоресурсов, был пополнен уставной капитал центральных предприятий по выработке электроэнергии. Были предоставлены единовременные премии и субсидии особо выделенным районам и предприятиям, которые отвечают за обеспечение теплоснабжения и снабжение энергетическими ресурсами, на импорт угля были временно установлены нулевые таможенные ставки. Был пополнен уставной капитал Национальной авиакомпании Китая (Air China), Китайских Южных авиалиний (China Southern Airlines), Китайских Восточных авиалиний (China Eastern Airlines) и Компании с ограниченной ответственностью «Международный аэропорт</w:t>
      </w:r>
      <w:r>
        <w:rPr>
          <w:rFonts w:hint="eastAsia" w:ascii="Times New Roman" w:hAnsi="Times New Roman" w:cs="Times New Roman"/>
          <w:sz w:val="24"/>
          <w:szCs w:val="24"/>
          <w:lang w:val="ru-RU"/>
        </w:rPr>
        <w:t xml:space="preserve"> </w:t>
      </w:r>
      <w:r>
        <w:rPr>
          <w:rFonts w:ascii="Times New Roman" w:hAnsi="Times New Roman" w:cs="Times New Roman"/>
          <w:sz w:val="24"/>
          <w:lang w:val="ru-RU"/>
        </w:rPr>
        <w:t>''</w:t>
      </w:r>
      <w:r>
        <w:rPr>
          <w:rFonts w:ascii="Times New Roman" w:hAnsi="Times New Roman" w:cs="Times New Roman"/>
          <w:sz w:val="24"/>
          <w:szCs w:val="24"/>
          <w:lang w:val="ru-RU"/>
        </w:rPr>
        <w:t xml:space="preserve">Шоуду''» (Beijing Capital International Airport Co., Ltd), на определенный период была введена политика выдачи финансовых дотаций на внутренние пассажирские авиаперевозки, была оказана поддержка целому ряду государственных комплексных узлов грузовых перевозок в восполнении недостатков цепочек поставок для их укрепления, тем самым стимулировалось обеспечение бесперебойного транспорта и логистики.      </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 xml:space="preserve">Действенное обеспечение и улучшение народного благосостояния на основе обеспечения базовых потребностей населения и минимальных социальных гарантий. </w:t>
      </w:r>
      <w:r>
        <w:rPr>
          <w:rFonts w:ascii="Times New Roman" w:hAnsi="Times New Roman" w:cs="Times New Roman"/>
          <w:b/>
          <w:i/>
          <w:sz w:val="24"/>
          <w:szCs w:val="24"/>
          <w:lang w:val="ru-RU"/>
        </w:rPr>
        <w:t>Стимулировалось высококачественное развитие образования.</w:t>
      </w:r>
      <w:r>
        <w:rPr>
          <w:rFonts w:ascii="Times New Roman" w:hAnsi="Times New Roman" w:cs="Times New Roman"/>
          <w:sz w:val="24"/>
          <w:szCs w:val="24"/>
          <w:lang w:val="ru-RU"/>
        </w:rPr>
        <w:t xml:space="preserve"> Интенсивно продвигалась работа по укреплению слабых звеньев и наращиванию потенциала в развитии обязательного образования, последовательно улучшались основные условия обучения. Было оказано содействие местам в увеличении общедоступных ресурсов дошкольного образования посредством применения различных каналов, а также в повышении качества ухода и воспитания детей. Была оказана поддержка профессиональным учебным заведениям в увеличении среднедушевой нормы ассигнований для учащихся, углублении интеграции учебной и производственной деятельности, активизации сотрудничества учебных заведений с предприятиями и т.д. Посредством совершенствования системы бюджетных ассигнований для вузов центрального подчинения повысилась среднедушевая норма таких ассигнований для студентов естественно-научных, технических, аграрных и медицинских специальностей, при этом больше бюджетных средств на нужды высшего образования было направлено на подготовку высококвалифицированных специалистов, крайне необходимых и дефицитных специалистов. В течение определенного периода нуждающиеся выпускники вузов были освобождены от выплаты процентов по государственным стипендиальным кредитам, им также было разрешено отсрочить погашение таких кредитов, этой политикой было охвачено свыше 4 млн выпускников. Реализовывалась политика финансовой поддержки учащихся, благодаря которой в Китае примерно 150 млн человеко-раз получили помощь. </w:t>
      </w:r>
      <w:r>
        <w:rPr>
          <w:rFonts w:ascii="Times New Roman" w:hAnsi="Times New Roman" w:cs="Times New Roman"/>
          <w:b/>
          <w:i/>
          <w:sz w:val="24"/>
          <w:szCs w:val="24"/>
          <w:lang w:val="ru-RU"/>
        </w:rPr>
        <w:t>Продвигалось развитие системы здравоохранения.</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Среднедушевые нормы финансовых дотаций на медицинское страхование для сельского и неработающего городского населения и на основные виды услуг общественного здравоохранения выросли до 610 юаней и 84 юаней соответственно. Была оказана поддержка в наращивании потенциала государственных больниц, низовых лечебно-санитарных учреждений и учреждений профилактики и контроля заболеваний, усилилась подготовка для этих учреждений специалистов в области медобслуживания и здравоохранения. Стимулировалось регулярное осуществление централизованных правительственных закупок с определенным объемом лекарственных препаратов и дорогостоящих медицинских расходных материалов. Совершенствовался порядок прямых межпровинциальных расчетов по месту оказания медицинских услуг. Была начата реализация образцово-показательных проектов реформирования и высококачественного развития государственных медицинских учреждений. </w:t>
      </w:r>
      <w:r>
        <w:rPr>
          <w:rFonts w:ascii="Times New Roman" w:hAnsi="Times New Roman" w:cs="Times New Roman"/>
          <w:b/>
          <w:i/>
          <w:sz w:val="24"/>
          <w:szCs w:val="24"/>
          <w:lang w:val="ru-RU"/>
        </w:rPr>
        <w:t>Повысился уровень социального обеспечения.</w:t>
      </w:r>
      <w:r>
        <w:rPr>
          <w:rFonts w:ascii="Times New Roman" w:hAnsi="Times New Roman" w:cs="Times New Roman"/>
          <w:sz w:val="24"/>
          <w:szCs w:val="24"/>
          <w:lang w:val="ru-RU"/>
        </w:rPr>
        <w:t xml:space="preserve"> В масштабах всей страны уверенно реализовывалось единое планирование фондов базового страхования по старости для рабочих и служащих предприятий, был введен механизм разграничения расходных обязательств между Центром и местами. За 2022 год были аккумулированы финансовые средства в фонд единого регулирования в размере примерно 244 млрд юаней, благодаря чему был эффективно восполнен дефицит местных фондов на текущий период. Размеры базовых пенсий по старости для пенсионеров увеличились на 4%, в расчете на человека ежемесячная минимальная норма базовой части пенсий по старости для сельских и неработающих городских жителей выросла до 98 юаней. Была введена система индивидуальной пенсии, на которую распространяются налоговые льготы. Продолжали повышаться размеры субсидий и пособий для военных и других льготных категорий населения. Поддерживалось строительство гарантированного арендного жилья, продолжала продвигаться реконструкция старых жилых комплексов и барачных кварталов в городах и поселках, аварийных домов в сельской местности</w:t>
      </w:r>
      <w:r>
        <w:rPr>
          <w:rFonts w:ascii="Times New Roman" w:hAnsi="Times New Roman" w:cs="Times New Roman"/>
          <w:kern w:val="0"/>
          <w:sz w:val="24"/>
          <w:szCs w:val="24"/>
          <w:lang w:val="ru-RU"/>
        </w:rPr>
        <w:t xml:space="preserve">. </w:t>
      </w:r>
      <w:r>
        <w:rPr>
          <w:rFonts w:ascii="Times New Roman" w:hAnsi="Times New Roman" w:cs="Times New Roman"/>
          <w:b/>
          <w:i/>
          <w:kern w:val="0"/>
          <w:sz w:val="24"/>
          <w:szCs w:val="24"/>
          <w:lang w:val="ru-RU"/>
        </w:rPr>
        <w:t>Была оказана поддержка в совершенствовании современной системы предоставления социально-культурных услуг.</w:t>
      </w:r>
      <w:r>
        <w:rPr>
          <w:rFonts w:ascii="Times New Roman" w:hAnsi="Times New Roman" w:cs="Times New Roman"/>
          <w:b/>
          <w:kern w:val="0"/>
          <w:sz w:val="24"/>
          <w:szCs w:val="24"/>
          <w:lang w:val="ru-RU"/>
        </w:rPr>
        <w:t xml:space="preserve"> </w:t>
      </w:r>
      <w:r>
        <w:rPr>
          <w:rFonts w:ascii="Times New Roman" w:hAnsi="Times New Roman" w:cs="Times New Roman"/>
          <w:kern w:val="0"/>
          <w:sz w:val="24"/>
          <w:szCs w:val="24"/>
          <w:lang w:val="ru-RU"/>
        </w:rPr>
        <w:t xml:space="preserve">Продвигалась интеграция городской и сельской систем социально-культурных услуг, совершенствовался механизм поддержки бесплатного посещения музеев и мемориалов, сосредоточивались усилия на повышении уровня социально-культурных услуг. Продвигалась глубокая интеграция средств массовой информации, стимулировался выпуск выдающихся произведений. Интенсифицировалась охрана памятников культуры, древних книг и других видов культурного наследия, реализовывалось высококачественное строительство государственных парков культуры. Были приложены активные усилия для успешного проведения Зимних Олимпийских и Паралимпийских игр в Пекине, а также оказана поддержка Олимпийской сборной команде Китая в достижении на этих Олимпийских играх наилучших в своей истории результатов. </w:t>
      </w:r>
      <w:r>
        <w:rPr>
          <w:rFonts w:ascii="Times New Roman" w:hAnsi="Times New Roman" w:cs="Times New Roman"/>
          <w:b/>
          <w:i/>
          <w:kern w:val="0"/>
          <w:sz w:val="24"/>
          <w:szCs w:val="24"/>
          <w:lang w:val="ru-RU"/>
        </w:rPr>
        <w:t>Интенсифицировалось финансовое обеспечение в сфере производственной безопасности, реагирования на чрезвычайные ситуации и оказания помощи пострадавшим от стихийных бедствий.</w:t>
      </w:r>
      <w:r>
        <w:rPr>
          <w:rFonts w:ascii="Times New Roman" w:hAnsi="Times New Roman" w:cs="Times New Roman"/>
          <w:sz w:val="24"/>
          <w:szCs w:val="24"/>
          <w:lang w:val="ru-RU"/>
        </w:rPr>
        <w:t xml:space="preserve"> Были введены субсидии для предупреждения производственных аварий и развития аварийно-спасательных сил, оказана поддержка в налаживании работы по обеспечению производственной безопасности. Наращивались возможности финансового обеспечения в области реагирования на чрезвычайные происшествия, пополнялись резервы материальных ресурсов по оказанию помощи пострадавшим от стихийных бедствий. Без всяких отлагательств был запущен механизм оперативного утверждения и выделения денежных средств, предназначенных для ликвидации последствий стихийных бедствий, таким образом была оказана поддержка местным правительствам в предупреждении стихийных бедствий, а также в проведении спасательных и восстановительных работ.</w:t>
      </w:r>
    </w:p>
    <w:p>
      <w:pPr>
        <w:snapToGrid w:val="0"/>
        <w:spacing w:line="300" w:lineRule="auto"/>
        <w:rPr>
          <w:rFonts w:ascii="Times New Roman" w:hAnsi="Times New Roman" w:cs="Times New Roman"/>
          <w:sz w:val="24"/>
          <w:szCs w:val="24"/>
          <w:lang w:val="ru-RU"/>
        </w:rPr>
      </w:pPr>
      <w:r>
        <w:rPr>
          <w:rFonts w:ascii="Times New Roman" w:hAnsi="Times New Roman" w:cs="Times New Roman"/>
          <w:b/>
          <w:sz w:val="24"/>
          <w:szCs w:val="24"/>
          <w:lang w:val="ru-RU"/>
        </w:rPr>
        <w:tab/>
      </w:r>
      <w:r>
        <w:rPr>
          <w:rFonts w:ascii="Times New Roman" w:hAnsi="Times New Roman" w:cs="Times New Roman"/>
          <w:b/>
          <w:sz w:val="24"/>
          <w:szCs w:val="24"/>
          <w:lang w:val="ru-RU"/>
        </w:rPr>
        <w:t xml:space="preserve">Стимулирование подъема сельских районов, повышение сбалансированности и согласованности развития регионов. </w:t>
      </w:r>
      <w:r>
        <w:rPr>
          <w:rFonts w:ascii="Times New Roman" w:hAnsi="Times New Roman" w:cs="Times New Roman"/>
          <w:b/>
          <w:i/>
          <w:sz w:val="24"/>
          <w:szCs w:val="24"/>
          <w:lang w:val="ru-RU"/>
        </w:rPr>
        <w:t>Было оказано содействие повышению урожайности и валового сбора зерновых.</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Поддерживалось увеличение площади сельскохозяйственных угодий высокого стандарта на 6,67 млн га, а площадь черноземных почв, на которых осуществляется сберегающее земледелие, увеличилась до 5,33 млн га. В целях реагирования на рост цен на средства сельхозпроизводства и на воздействие других факторов крестьянам, фактически занимающимся выращиванием зерновых культур, по трем группам были выданы пособия общей суммой 40 млрд юаней. Поддерживалось повышение в разумной мере минимальных закупочных цен на рис и пшеницу, начали предоставляться дотации на поддержку практики полосового совместного выращивания сои и кукурузы, увеличился размер премии для крупных зернопроизводящих уездов, что позволило сохранить и мобилизовать активность крестьян и местных правительств в зерновом производстве. Поддерживалось осуществление пилотных проектов по интегрированию разработки, производства, распространения и использования сельскохозяйственной техники, осуществлялась пилотная политика по выдаче субсидий на приобретение и применение сельхозтехники, внедрялось интеллектуальное терминальное устройство спутниковой навигационной системы «Бэйдоу» в области сельскохозяйственного производства. Был осуществлен полный охват всех крупных зернопроизводящих уездов из 13 главных зернопроизводящих провинций страхованием полной стоимости возделывания риса, кукурузы и пшеницы, а также страхованием доходов от их выращивания. С помощью выделения субсидий на применение соответствующих ядохимикатов против болезней и вредителей, суховея и преждевременного старения пшеницы была оказана поддержка в стимулировании здорового роста летней пшеницы, из резервных средств центрального бюджета было выделено 10 млрд юаней на борьбу с засухами, минимизацию последствий стихийных бедствий и обеспечение осеннего урожая. В результате всего этого валовой сбор зерна за год достиг 685 млн тонн, объем его производства восемь лет подряд поддерживался на уровне свыше 650 млн тонн. </w:t>
      </w:r>
      <w:r>
        <w:rPr>
          <w:rFonts w:ascii="Times New Roman" w:hAnsi="Times New Roman" w:cs="Times New Roman"/>
          <w:b/>
          <w:i/>
          <w:sz w:val="24"/>
          <w:szCs w:val="24"/>
          <w:lang w:val="ru-RU"/>
        </w:rPr>
        <w:t>Было оказано содействие эффективной увязке работы по закреплению и расширению достижений в интенсивной ликвидации бедности и работы по подъему села.</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Центральный бюджет продолжал увеличивать субсидии на стимулирование подъема сельских районов в контексте реализации вышеупомянутых работ. Средства были направлены приоритетно на поддержку развития отраслей производства, способствующих объединению и поощрению крестьян, а также повышению их доходов, чтобы содействовать трудоустройству населения, выбравшегося из бедствующего состояния, и устойчивому росту его доходов. Поддерживалось успешное выполнение работы по оказанию последующей помощи населению, переехавшему из бедных районов в обеспеченные, были усилены действующие меры по оказанию постоянной помощи сельскому населению с низким уровнем дохода. Неизменно придерживаясь курса на стимулирование развития сельских районов за счет развития производств, мы поддерживали создание 50 новых государственных парков развития современного сельхозпроизводства, 40 новых кластеров лидирующих и специфических производств и 200 новых ведущих поселков по развитию сельхозпроизводства. Поддержка также была оказана более 20 тыс. сел в развитии и укреплении коллективного хозяйства, были созданы 400 прекрасных деревень с ресурсами революционной и патриотической славы. Стимулировались расширение охвата, ускорение темпов и интегрированное развитие эксперимента по комплексной реформе на селе, такой новый эксперимент был запущен еще в 13 районах. </w:t>
      </w:r>
      <w:r>
        <w:rPr>
          <w:rFonts w:ascii="Times New Roman" w:hAnsi="Times New Roman" w:cs="Times New Roman"/>
          <w:b/>
          <w:i/>
          <w:sz w:val="24"/>
          <w:szCs w:val="24"/>
          <w:lang w:val="ru-RU"/>
        </w:rPr>
        <w:t xml:space="preserve">Стимулировалось скоординированное развитие регионов. </w:t>
      </w:r>
      <w:r>
        <w:rPr>
          <w:rFonts w:ascii="Times New Roman" w:hAnsi="Times New Roman" w:cs="Times New Roman"/>
          <w:sz w:val="24"/>
          <w:szCs w:val="24"/>
          <w:lang w:val="ru-RU"/>
        </w:rPr>
        <w:t>Осуществлялась соответствующая бюджетно-налоговая политика в рамках важнейших стратегий регионального развития, нацеленная на поддержку согласованного развития региона Пекин–Тяньцзинь–Хэбэй, развития экономического пояса реки Янцзы, строительства региона «Большой залив» Гуандун–Сянган–Аомэнь, интегрированного развития региона дельты реки Янцзы. Были разработаны политические установки и проекты, связанные с поддержкой защиты экологии и высококачественного развития бассейна реки Хуанхэ, поддержкой провинции Гуйчжоу в ускоренном повышении собственного потенциала финансового управления и всемерном изыскании нового пути высококачественного развития, поддержкой провинции Шаньдун в активном замещении старых драйверов развития новыми и стимулировании зеленого, низкоуглеродного и высококачественного развития, поддержкой города Шэньчжэнь в экспериментальном обновлении системы финансовых политустановок и системы финансового управления. Трансфертные платежи в бывшие революционные опорные базы, национальные, окраинные и слаборазвитые районы увеличились на 8,2%. В рамках продвижения строительства Хайнаньского порта свободной торговли расширился перечень товаров с нулевой таможенной пошлиной, были открыты новые магазины беспошлинной торговли.</w:t>
      </w:r>
    </w:p>
    <w:p>
      <w:pPr>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 xml:space="preserve">Содействие зеленой и низкоуглеродной трансформации, последовательное улучшение экологической среды. </w:t>
      </w:r>
      <w:r>
        <w:rPr>
          <w:rFonts w:ascii="Times New Roman" w:hAnsi="Times New Roman" w:cs="Times New Roman"/>
          <w:sz w:val="24"/>
          <w:szCs w:val="24"/>
          <w:lang w:val="ru-RU"/>
        </w:rPr>
        <w:t>Энергично продвигалось создание системы природных заповедников, основу которой составляют национальные парки, были опубликованы и претворены в жизнь предложения относительно некоторых финансовых политустановок по стимулированию строительства национальных парков. Была оказана поддержка в создании девяти новых проектов по интегрированной защите и восстановлению экологии горных районов, речной и озерной среды, лесных территорий, пахотных земель, степных покровов и песчаных почв, таким образом, мерами поддержки были охвачены такие важные экологические зоны, как хребет Циньлин, озеро Эрхай, озеро Дунтинху, реки Цзинцзян и Лицзян, район водохранилища Санься. Путем оценки и аттестации на конкурентных началах были отобраны для поддержки 11 образцово-показательных проектов по восстановлению экосистем в районе заброшенных в прошлом рудников, 20 образцово-показательных пилотных проектов по озеленению территории страны и 16 проектов по защите и восстановлению морских экосистем. В контексте интенсивного выполнения сложнейших задач по предотвращению и ликвидации загрязнения еще 25 городов были включены в сферу финансовой поддержки внедрения на севере Китая экологически чистой отопительной системы. Продвигалась работа по борьбе с загрязнением воды при сосредоточении сил на бассейнах рек Янцзы, Хуанхэ и др. Усиливалась проверка результатов ликвидации загрязнения и премировались районы за полученные ощутимые результаты. Были опубликованы предложения по усилению финансовой поддержки в области достижения пиковых показателей по выбросам углерода и достижения углеродной нейтральности, была создана и затем совершенствовалась система бюджетно-налоговых установок по стимулированию высокоэффективного использования ресурсов, зеленого и низкоуглеродного развития.</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Углубление реформы бюджетно-налоговой системы, усиление финансового управления и контроля. </w:t>
      </w:r>
      <w:r>
        <w:rPr>
          <w:rFonts w:ascii="Times New Roman" w:hAnsi="Times New Roman" w:cs="Times New Roman"/>
          <w:sz w:val="24"/>
          <w:szCs w:val="24"/>
          <w:lang w:val="ru-RU"/>
        </w:rPr>
        <w:t>Были обнародованы руководящие указания по активизации реформы бюджетной системы на провинциальном уровне и ниже. Расходы на уход за детьми до трех лет были включены в состав дополнительного налогового вычета при исчислении личного подоходного налога, началось взимание акциза на электронные сигареты. Законопроект о налоге на добавленную стоимость был представлен на первичное рассмотрение ПК ВСНП, существенный прогресс был достигнут в работе по разработке Закона о таможенной пошлине, Закона о сертифицированных бухгалтерах, Закона о бухгалтерском учете, Закона о правительственных закупках и др. Были обнародованы пересмотренные порядок проверки и оценки результативности и эффективности бюджетного управления в центральных ведомствах и соответствующий порядок на местном уровне, а также был введен порядок результативного бюджетного управления фондами социального страхования, что позволило значительнее повысить уровень открытости информации о выполнении результативных показателей. Был обнародован порядок ведения общего бухгалтерского учета. Была завершена работа по составлению сводной финансовой отчетности Центрального правительства за 2021 год и налажена соответствующая работа по доведению ее до сведения ПК ВСНП. Значительно сокращались затраты на необязательные и неключевые проекты, строго и жестко ограничивались «служебные расходы по трем статьям». Интенсивно развертывались специальные кампании, нацеленные на наведение финансово-экономического порядка на местах, в результате был выявлен и устранен целый ряд острых проблем, связанных с нарушением финансово-экономической дисциплины. Последовательно проводились целевые мероприятия по решению четырех типов проблем нарушений законодательных и нормативных актов, таких как номинальное исполнение обязанностей сертифицированных бухгалтеров и онлайн-торговля аудиторскими отчетами, интенсифицировалась борьба с нелицензированным аутсорсингом бухгалтерских услуг, манипуляцией «ложными обещаниями» и другими правонарушениями в сфере таких услуг, заработала единая платформа по надзору и управлению деятельностью сертифицированных бухгалтеров. Были опубликованы руководящие указания по введению в оборот государственных активов административных органов и бюджетных учреждений. ПК ВСНП был представлен отчет о всеохватном управлении государственными активами в 2021 году, была завершена работа по составлению отчета об управлении в этой области за первый пятилетний срок.</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Оглядываясь на прошедшее пятилетие, важно отметить, что мы </w:t>
      </w:r>
      <w:bookmarkStart w:id="0" w:name="OLE_LINK9"/>
      <w:bookmarkStart w:id="1" w:name="OLE_LINK10"/>
      <w:r>
        <w:rPr>
          <w:rFonts w:ascii="Times New Roman" w:hAnsi="Times New Roman" w:cs="Times New Roman"/>
          <w:sz w:val="24"/>
          <w:szCs w:val="24"/>
          <w:lang w:val="ru-RU"/>
        </w:rPr>
        <w:t>прошли непростой путь борьбы</w:t>
      </w:r>
      <w:bookmarkEnd w:id="0"/>
      <w:bookmarkEnd w:id="1"/>
      <w:r>
        <w:rPr>
          <w:rFonts w:ascii="Times New Roman" w:hAnsi="Times New Roman" w:cs="Times New Roman"/>
          <w:sz w:val="24"/>
          <w:szCs w:val="24"/>
          <w:lang w:val="ru-RU"/>
        </w:rPr>
        <w:t xml:space="preserve">. Под твердым руководством ЦК КПК и Госсовета финансовые органы, придерживаясь основного алгоритма работы – поступательного движения вперед при поддержании стабильности, полностью, четко и всесторонне претворяя в жизнь новую концепцию развития, неизменно реализовывали активную финансовую политику, направляли особые усилия на содействие высококачественному развитию и активно работали над формированием новой архитектоники развития. Финансы как основа и важная опора государственного управления эффективно обслуживали дело партии и государства, обеспечив достижение в нем важных и очевидных для всего мира успехов. </w:t>
      </w:r>
      <w:r>
        <w:rPr>
          <w:rFonts w:ascii="Times New Roman" w:hAnsi="Times New Roman" w:cs="Times New Roman"/>
          <w:b/>
          <w:sz w:val="24"/>
          <w:szCs w:val="24"/>
          <w:lang w:val="ru-RU"/>
        </w:rPr>
        <w:t>Во-первых, с каждым днем наращивались финансовые возможности.</w:t>
      </w:r>
      <w:r>
        <w:rPr>
          <w:rFonts w:ascii="Times New Roman" w:hAnsi="Times New Roman" w:cs="Times New Roman"/>
          <w:sz w:val="24"/>
          <w:szCs w:val="24"/>
          <w:lang w:val="ru-RU"/>
        </w:rPr>
        <w:t xml:space="preserve"> </w:t>
      </w:r>
      <w:bookmarkStart w:id="2" w:name="OLE_LINK509"/>
      <w:bookmarkStart w:id="3" w:name="OLE_LINK508"/>
      <w:r>
        <w:rPr>
          <w:rFonts w:ascii="Times New Roman" w:hAnsi="Times New Roman" w:cs="Times New Roman"/>
          <w:sz w:val="24"/>
          <w:szCs w:val="24"/>
          <w:lang w:val="ru-RU"/>
        </w:rPr>
        <w:t>Доходы обычного общественного бюджета по всей стране увеличились с 17,26 трлн юаней в 2017 году до 20,37 трлн юаней в 2022 году, среднегодовой прирост составил 3,4%</w:t>
      </w:r>
      <w:bookmarkEnd w:id="2"/>
      <w:bookmarkEnd w:id="3"/>
      <w:r>
        <w:rPr>
          <w:rFonts w:ascii="Times New Roman" w:hAnsi="Times New Roman" w:cs="Times New Roman"/>
          <w:sz w:val="24"/>
          <w:szCs w:val="24"/>
          <w:lang w:val="ru-RU"/>
        </w:rPr>
        <w:t xml:space="preserve">. Расходы обычного общественного бюджета по всей стране увеличились с 20,31 трлн юаней в 2017 году до 26,06 трлн юаней в 2022 году, их среднегодовой прирост составил 5,1%, благодаря непрерывной оптимизации их структуры они предоставили мощную финансовую опору развитию дела партии и государства. </w:t>
      </w:r>
      <w:r>
        <w:rPr>
          <w:rFonts w:ascii="Times New Roman" w:hAnsi="Times New Roman" w:cs="Times New Roman"/>
          <w:b/>
          <w:sz w:val="24"/>
          <w:szCs w:val="24"/>
          <w:lang w:val="ru-RU"/>
        </w:rPr>
        <w:t xml:space="preserve">Во-вторых, последовательно совершенствовалось финансовое макрорегулирование. </w:t>
      </w:r>
      <w:r>
        <w:rPr>
          <w:rFonts w:ascii="Times New Roman" w:hAnsi="Times New Roman" w:cs="Times New Roman"/>
          <w:sz w:val="24"/>
          <w:szCs w:val="24"/>
          <w:lang w:val="ru-RU"/>
        </w:rPr>
        <w:t xml:space="preserve">Активизировалось кросс-циклическое и антициклическое регулирование, усиливалось целенаправленное, своевременное и адресное регулирование. Столкнувшись в 2020 году с серьезным ударом, нанесенным </w:t>
      </w:r>
      <w:bookmarkStart w:id="4" w:name="OLE_LINK510"/>
      <w:bookmarkStart w:id="5" w:name="OLE_LINK511"/>
      <w:r>
        <w:rPr>
          <w:rFonts w:ascii="Times New Roman" w:hAnsi="Times New Roman" w:cs="Times New Roman"/>
          <w:sz w:val="24"/>
          <w:szCs w:val="24"/>
          <w:lang w:val="ru-RU"/>
        </w:rPr>
        <w:t>эпидемией</w:t>
      </w:r>
      <w:bookmarkEnd w:id="4"/>
      <w:bookmarkEnd w:id="5"/>
      <w:r>
        <w:rPr>
          <w:rFonts w:ascii="Times New Roman" w:hAnsi="Times New Roman" w:cs="Times New Roman"/>
          <w:sz w:val="24"/>
          <w:szCs w:val="24"/>
          <w:lang w:val="ru-RU"/>
        </w:rPr>
        <w:t xml:space="preserve"> COVID-19, мы приняли такие инновационные меры, как выпуск специальных госзаймов на борьбу с эпидемией, обеспечив небывалую динамику реализации </w:t>
      </w:r>
      <w:bookmarkStart w:id="6" w:name="OLE_LINK16"/>
      <w:bookmarkStart w:id="7" w:name="OLE_LINK15"/>
      <w:r>
        <w:rPr>
          <w:rFonts w:ascii="Times New Roman" w:hAnsi="Times New Roman" w:cs="Times New Roman"/>
          <w:sz w:val="24"/>
          <w:szCs w:val="24"/>
          <w:lang w:val="ru-RU"/>
        </w:rPr>
        <w:t xml:space="preserve">политики по </w:t>
      </w:r>
      <w:bookmarkStart w:id="8" w:name="OLE_LINK512"/>
      <w:bookmarkStart w:id="9" w:name="OLE_LINK513"/>
      <w:r>
        <w:rPr>
          <w:rFonts w:ascii="Times New Roman" w:hAnsi="Times New Roman" w:cs="Times New Roman"/>
          <w:sz w:val="24"/>
          <w:szCs w:val="24"/>
          <w:lang w:val="ru-RU"/>
        </w:rPr>
        <w:t>содействию</w:t>
      </w:r>
      <w:bookmarkEnd w:id="6"/>
      <w:bookmarkEnd w:id="7"/>
      <w:r>
        <w:rPr>
          <w:rFonts w:ascii="Times New Roman" w:hAnsi="Times New Roman" w:cs="Times New Roman"/>
          <w:sz w:val="24"/>
          <w:szCs w:val="24"/>
          <w:lang w:val="ru-RU"/>
        </w:rPr>
        <w:t xml:space="preserve"> восстановлению экономики</w:t>
      </w:r>
      <w:bookmarkEnd w:id="8"/>
      <w:bookmarkEnd w:id="9"/>
      <w:r>
        <w:rPr>
          <w:rFonts w:ascii="Times New Roman" w:hAnsi="Times New Roman" w:cs="Times New Roman"/>
          <w:sz w:val="24"/>
          <w:szCs w:val="24"/>
          <w:lang w:val="ru-RU"/>
        </w:rPr>
        <w:t xml:space="preserve">. Благодаря неизменному сочетанию институциональных и промежуточных мер, а также масштабному сокращению налогов и сборов продолжало снижаться налоговое бремя на макроуровне в нашей стране. Был создан и на регулярной основе </w:t>
      </w:r>
      <w:bookmarkStart w:id="10" w:name="OLE_LINK17"/>
      <w:r>
        <w:rPr>
          <w:rFonts w:ascii="Times New Roman" w:hAnsi="Times New Roman" w:cs="Times New Roman"/>
          <w:sz w:val="24"/>
          <w:szCs w:val="24"/>
          <w:lang w:val="ru-RU"/>
        </w:rPr>
        <w:t xml:space="preserve">введен в действие механизм </w:t>
      </w:r>
      <w:bookmarkEnd w:id="10"/>
      <w:r>
        <w:rPr>
          <w:rFonts w:ascii="Times New Roman" w:hAnsi="Times New Roman" w:cs="Times New Roman"/>
          <w:sz w:val="24"/>
          <w:szCs w:val="24"/>
          <w:lang w:val="ru-RU"/>
        </w:rPr>
        <w:t xml:space="preserve">прямого перечисления финансовых средств. Были приложены усилия для того, чтобы денежные средства на поддержку предприятий и населения без промежуточных звеньев напрямую доходили до низов, благодаря чему срок выделения денежных средств низовым структурам в среднем сократился примерно до 30 дней. Усиливалась финансовая поддержка для местных бюджетов, за последние пять лет объем трансфертных платежей из центрального бюджета в местные </w:t>
      </w:r>
      <w:bookmarkStart w:id="11" w:name="OLE_LINK20"/>
      <w:r>
        <w:rPr>
          <w:rFonts w:ascii="Times New Roman" w:hAnsi="Times New Roman" w:cs="Times New Roman"/>
          <w:sz w:val="24"/>
          <w:szCs w:val="24"/>
          <w:lang w:val="ru-RU"/>
        </w:rPr>
        <w:t xml:space="preserve">достиг в общей </w:t>
      </w:r>
      <w:bookmarkEnd w:id="11"/>
      <w:r>
        <w:rPr>
          <w:rFonts w:ascii="Times New Roman" w:hAnsi="Times New Roman" w:cs="Times New Roman"/>
          <w:sz w:val="24"/>
          <w:szCs w:val="24"/>
          <w:lang w:val="ru-RU"/>
        </w:rPr>
        <w:t xml:space="preserve">сложности 40,66 трлн юаней, среднегодовой прирост составил 8,4%, что на 4,8 процентного пункта выше прироста собственных расходов центрального бюджета. Удельный вес трансфертных платежей на места в расходах центрального обычного общественного бюджета вырос примерно до 70%. </w:t>
      </w:r>
      <w:r>
        <w:rPr>
          <w:rFonts w:ascii="Times New Roman" w:hAnsi="Times New Roman" w:cs="Times New Roman"/>
          <w:b/>
          <w:sz w:val="24"/>
          <w:szCs w:val="24"/>
          <w:lang w:val="ru-RU"/>
        </w:rPr>
        <w:t xml:space="preserve">В-третьих, финансовое обеспечение становилось более целенаправленным и эффективным. </w:t>
      </w:r>
      <w:r>
        <w:rPr>
          <w:rFonts w:ascii="Times New Roman" w:hAnsi="Times New Roman" w:cs="Times New Roman"/>
          <w:sz w:val="24"/>
          <w:szCs w:val="24"/>
          <w:lang w:val="ru-RU"/>
        </w:rPr>
        <w:t xml:space="preserve">Финансовые органы всех ступеней увеличили целевые финансовые средства на ликвидацию бедности, оказывали поддержку в достижении в установленные сроки победы в интенсивной борьбе с бедностью, содействовали эффективному сочетанию закрепления и расширения достижений в интенсивной ликвидации бедности с реализацией стратегии подъема села. Доля госбюджетных ассигнований на образовательные нужды в ВВП последовательно сохранялась </w:t>
      </w:r>
      <w:bookmarkStart w:id="12" w:name="OLE_LINK21"/>
      <w:bookmarkStart w:id="13" w:name="OLE_LINK22"/>
      <w:r>
        <w:rPr>
          <w:rFonts w:ascii="Times New Roman" w:hAnsi="Times New Roman" w:cs="Times New Roman"/>
          <w:sz w:val="24"/>
          <w:szCs w:val="24"/>
          <w:lang w:val="ru-RU"/>
        </w:rPr>
        <w:t>на уровне выше 4%</w:t>
      </w:r>
      <w:bookmarkEnd w:id="12"/>
      <w:bookmarkEnd w:id="13"/>
      <w:r>
        <w:rPr>
          <w:rFonts w:ascii="Times New Roman" w:hAnsi="Times New Roman" w:cs="Times New Roman"/>
          <w:sz w:val="24"/>
          <w:szCs w:val="24"/>
          <w:lang w:val="ru-RU"/>
        </w:rPr>
        <w:t xml:space="preserve">, в последние пять лет на эти нужды было выделено в общей сложности 21 трлн юаней, значительно повысился уровень среднедушевого финансового обеспечения для учащихся. </w:t>
      </w:r>
      <w:bookmarkStart w:id="14" w:name="OLE_LINK23"/>
      <w:bookmarkStart w:id="15" w:name="OLE_LINK24"/>
      <w:r>
        <w:rPr>
          <w:rFonts w:ascii="Times New Roman" w:hAnsi="Times New Roman" w:cs="Times New Roman"/>
          <w:sz w:val="24"/>
          <w:szCs w:val="24"/>
          <w:lang w:val="ru-RU"/>
        </w:rPr>
        <w:t>В контексте реформирования и совершенство</w:t>
      </w:r>
      <w:bookmarkEnd w:id="14"/>
      <w:bookmarkEnd w:id="15"/>
      <w:r>
        <w:rPr>
          <w:rFonts w:ascii="Times New Roman" w:hAnsi="Times New Roman" w:cs="Times New Roman"/>
          <w:sz w:val="24"/>
          <w:szCs w:val="24"/>
          <w:lang w:val="ru-RU"/>
        </w:rPr>
        <w:t xml:space="preserve">вания системы выделения бюджетных ассигнований на развитие науки и техники и управления этими средствами собственные расходы центрального бюджета на нужды фундаментальных исследований увеличились </w:t>
      </w:r>
      <w:bookmarkStart w:id="16" w:name="OLE_LINK26"/>
      <w:bookmarkStart w:id="17" w:name="OLE_LINK25"/>
      <w:r>
        <w:rPr>
          <w:rFonts w:ascii="Times New Roman" w:hAnsi="Times New Roman" w:cs="Times New Roman"/>
          <w:sz w:val="24"/>
          <w:szCs w:val="24"/>
          <w:lang w:val="ru-RU"/>
        </w:rPr>
        <w:t>на 52,6%</w:t>
      </w:r>
      <w:bookmarkEnd w:id="16"/>
      <w:bookmarkEnd w:id="17"/>
      <w:r>
        <w:rPr>
          <w:rFonts w:ascii="Times New Roman" w:hAnsi="Times New Roman" w:cs="Times New Roman"/>
          <w:sz w:val="24"/>
          <w:szCs w:val="24"/>
          <w:lang w:val="ru-RU"/>
        </w:rPr>
        <w:t xml:space="preserve">, продолжали усиливаться меры поддержки для наращивания стратегической научно-технической мощи государства и совершения прорывов в разработке основных ключевых технологий. С помощью рыночного механизма стимулировалась инновационная деятельность предприятий, годовой объем налоговых льгот, направленных на поддержку различных инноваций, превысил триллион юаней. Была создана система центрального регулирования фондов базового страхования по старости для рабочих и служащих предприятий, притом доля отчислений в эту систему постепенно выросла до 4,5%, на этой основе </w:t>
      </w:r>
      <w:bookmarkStart w:id="18" w:name="OLE_LINK27"/>
      <w:r>
        <w:rPr>
          <w:rFonts w:ascii="Times New Roman" w:hAnsi="Times New Roman" w:cs="Times New Roman"/>
          <w:sz w:val="24"/>
          <w:szCs w:val="24"/>
          <w:lang w:val="ru-RU"/>
        </w:rPr>
        <w:t>была введена система</w:t>
      </w:r>
      <w:bookmarkEnd w:id="18"/>
      <w:r>
        <w:rPr>
          <w:rFonts w:ascii="Times New Roman" w:hAnsi="Times New Roman" w:cs="Times New Roman"/>
          <w:sz w:val="24"/>
          <w:szCs w:val="24"/>
          <w:lang w:val="ru-RU"/>
        </w:rPr>
        <w:t xml:space="preserve"> </w:t>
      </w:r>
      <w:bookmarkStart w:id="19" w:name="OLE_LINK514"/>
      <w:bookmarkStart w:id="20" w:name="OLE_LINK515"/>
      <w:r>
        <w:rPr>
          <w:rFonts w:ascii="Times New Roman" w:hAnsi="Times New Roman" w:cs="Times New Roman"/>
          <w:sz w:val="24"/>
          <w:szCs w:val="24"/>
          <w:lang w:val="ru-RU"/>
        </w:rPr>
        <w:t>единого планирования фондов базового страхования по старости для рабочих и служащих предприятий в масштабах всей страны</w:t>
      </w:r>
      <w:bookmarkEnd w:id="19"/>
      <w:bookmarkEnd w:id="20"/>
      <w:r>
        <w:rPr>
          <w:rFonts w:ascii="Times New Roman" w:hAnsi="Times New Roman" w:cs="Times New Roman"/>
          <w:sz w:val="24"/>
          <w:szCs w:val="24"/>
          <w:lang w:val="ru-RU"/>
        </w:rPr>
        <w:t xml:space="preserve">. Увеличились размеры базовых пенсий по старости для пенсионеров и минимальная норма базовой части пенсий по старости для сельских и неработающих городских жителей. Был перечислен госкапитал для пополнения фонда социального обеспечения, объем его резервов увеличился с 1,8 трлн юаней до более чем 2,5 трлн юаней. Среднедушевые нормы госбюджетных дотаций на медицинское страхование для сельского и неработающего городского населения повысились с 450 до 610 юаней. Среднедушевые нормы госбюджетных дотаций на основные виды услуг общественного здравоохранения увеличились с 50 до 84 юаней. С каждым годом повышались нормы прожиточного минимума, нормы пособий и дотаций на бытовые нужды для военных и других категорий льготников. К концу 2022 года средние нормы пособий для обеспечения прожиточного минимума в городах и деревнях по всей стране увеличились на 39,2% и 62,4% соответственно по сравнению с аналогичными показателями конца 2017 года. Среднедушевые годовые нормы регулярных денежных пособий для семей павших героев ежегодно увеличивались примерно на 10%. Поддерживалось наращивание динамики борьбы с загрязнением и совершенствовалась система компенсации природоохранных затрат. За последнее пятилетие среднегодовой прирост денежных средств, выделенных на </w:t>
      </w:r>
      <w:bookmarkStart w:id="21" w:name="OLE_LINK28"/>
      <w:bookmarkStart w:id="22" w:name="OLE_LINK29"/>
      <w:r>
        <w:rPr>
          <w:rFonts w:ascii="Times New Roman" w:hAnsi="Times New Roman" w:cs="Times New Roman"/>
          <w:sz w:val="24"/>
          <w:szCs w:val="24"/>
          <w:lang w:val="ru-RU"/>
        </w:rPr>
        <w:t xml:space="preserve">предотвращение и устранение загрязнения </w:t>
      </w:r>
      <w:bookmarkEnd w:id="21"/>
      <w:bookmarkEnd w:id="22"/>
      <w:r>
        <w:rPr>
          <w:rFonts w:ascii="Times New Roman" w:hAnsi="Times New Roman" w:cs="Times New Roman"/>
          <w:sz w:val="24"/>
          <w:szCs w:val="24"/>
          <w:lang w:val="ru-RU"/>
        </w:rPr>
        <w:t xml:space="preserve">атмосферы, воды и почвы, достиг 12,4%, среднегодовой прирост трансфертных платежей на нужды развития зон с важными экологическими функциями составил 9,6%. Был создан и оздоровлен механизм государственных вложений в агросектор, улучшалась система сельскохозяйственных дотаций и система директивного сельскохозяйственного страхования для обеспечения национальной продовольственной безопасности, содействия развитию сельских районов и увеличению доходов крестьян. </w:t>
      </w:r>
      <w:r>
        <w:rPr>
          <w:rFonts w:ascii="Times New Roman" w:hAnsi="Times New Roman" w:cs="Times New Roman"/>
          <w:b/>
          <w:sz w:val="24"/>
          <w:szCs w:val="24"/>
          <w:lang w:val="ru-RU"/>
        </w:rPr>
        <w:t xml:space="preserve">В-четвертых, всесторонне продвигалась финансово-налоговая реформа. </w:t>
      </w:r>
      <w:r>
        <w:rPr>
          <w:rFonts w:ascii="Times New Roman" w:hAnsi="Times New Roman" w:cs="Times New Roman"/>
          <w:sz w:val="24"/>
          <w:szCs w:val="24"/>
          <w:lang w:val="ru-RU"/>
        </w:rPr>
        <w:t xml:space="preserve">Были пересмотрены положения о применении Закона о бюджете. Были обнародованы и претворены в жизнь предложения о дальнейшем углублении реформы системы бюджетного управления. Были опубликованы и реализованы проекты реформ по разграничению финансовых полномочий и расходных обязательств между Центром и местами в области основных общественных услуг, науки и техники, образования и др. Основательно продвигалась реформа финансовой системы на провинциальном уровне и ниже. Наряду с оптимизацией системы трансфертных платежей были разработаны и улучшены трансфертные платежи по общим финансовым полномочиям, более четко были определены функции различных видов </w:t>
      </w:r>
      <w:bookmarkStart w:id="23" w:name="OLE_LINK30"/>
      <w:bookmarkStart w:id="24" w:name="OLE_LINK31"/>
      <w:r>
        <w:rPr>
          <w:rFonts w:ascii="Times New Roman" w:hAnsi="Times New Roman" w:cs="Times New Roman"/>
          <w:sz w:val="24"/>
          <w:szCs w:val="24"/>
          <w:lang w:val="ru-RU"/>
        </w:rPr>
        <w:t>трансфертов</w:t>
      </w:r>
      <w:bookmarkEnd w:id="23"/>
      <w:bookmarkEnd w:id="24"/>
      <w:r>
        <w:rPr>
          <w:rFonts w:ascii="Times New Roman" w:hAnsi="Times New Roman" w:cs="Times New Roman"/>
          <w:sz w:val="24"/>
          <w:szCs w:val="24"/>
          <w:lang w:val="ru-RU"/>
        </w:rPr>
        <w:t xml:space="preserve">. В ходе углубления реформы НДС постепенно внедрялся и улучшался порядок возврата суммы переплаты по НДС. Была создана система личного подоходного налога на основе сочетания комплексного и дифференцированного подходов. Совершенствовалась система акцизов и подоходного налога предприятий, осуществлялась реформа системы налогообложения в области природных ресурсов и окружающей среды. </w:t>
      </w:r>
      <w:r>
        <w:rPr>
          <w:rFonts w:ascii="Times New Roman" w:hAnsi="Times New Roman" w:cs="Times New Roman"/>
          <w:b/>
          <w:sz w:val="24"/>
          <w:szCs w:val="24"/>
          <w:lang w:val="ru-RU"/>
        </w:rPr>
        <w:t xml:space="preserve">В-пятых, непрерывно повышался уровень финансового управления. </w:t>
      </w:r>
      <w:r>
        <w:rPr>
          <w:rFonts w:ascii="Times New Roman" w:hAnsi="Times New Roman" w:cs="Times New Roman"/>
          <w:sz w:val="24"/>
          <w:szCs w:val="24"/>
          <w:lang w:val="ru-RU"/>
        </w:rPr>
        <w:t xml:space="preserve">Совершенствовалась система управления долговыми обязательствами местных правительств, был создан регулярный механизм межведомственного взаимосогласованного надзора и управления. В некоторых районах, которые обладают необходимыми условиями, </w:t>
      </w:r>
      <w:bookmarkStart w:id="25" w:name="OLE_LINK516"/>
      <w:bookmarkStart w:id="26" w:name="OLE_LINK517"/>
      <w:r>
        <w:rPr>
          <w:rFonts w:ascii="Times New Roman" w:hAnsi="Times New Roman" w:cs="Times New Roman"/>
          <w:sz w:val="24"/>
          <w:szCs w:val="24"/>
          <w:lang w:val="ru-RU"/>
        </w:rPr>
        <w:t xml:space="preserve">уверенными темпами </w:t>
      </w:r>
      <w:bookmarkEnd w:id="25"/>
      <w:bookmarkEnd w:id="26"/>
      <w:r>
        <w:rPr>
          <w:rFonts w:ascii="Times New Roman" w:hAnsi="Times New Roman" w:cs="Times New Roman"/>
          <w:sz w:val="24"/>
          <w:szCs w:val="24"/>
          <w:lang w:val="ru-RU"/>
        </w:rPr>
        <w:t xml:space="preserve">продвигались пилотные проекты по полной ликвидации скрытых долгов на всей территории. Благодаря сдерживанию прироста скрытых долгов, погашению их накопленной суммы, усилению контроля и управления, привлечению к строгой ответственности за соответствующие правонарушения были смягчены и взяты под контроль скрытые долговые риски местных правительств. Ускорялось формирование всеобъемлющей системы результативного бюджетирования, охватывающей весь бюджетный процесс и все сферы деятельности. Всесторонне продвигалось создание современного финансового казначейства. Во всех направлениях шла интеграция бюджетного управления. Произошло дальнейшее углубление реформы системы правительственных закупок и реформы закупок правительством услуг. Усиливались финансово-бухгалтерский контроль и внутренний контроль в системе госфинансов. Добросовестно исполнялись обязанности финансовых органов как инвесторов, управляющих государственным финансовым капиталом. Было в основном выявлено состояние четырех видов государственных активов, всесторонне осуществлялась система отчета о государственных активах. </w:t>
      </w:r>
      <w:r>
        <w:rPr>
          <w:rFonts w:ascii="Times New Roman" w:hAnsi="Times New Roman" w:cs="Times New Roman"/>
          <w:b/>
          <w:sz w:val="24"/>
          <w:szCs w:val="24"/>
          <w:lang w:val="ru-RU"/>
        </w:rPr>
        <w:t xml:space="preserve">В-шестых, сохранялась устойчивость функционирования госфинансов. </w:t>
      </w:r>
      <w:r>
        <w:rPr>
          <w:rFonts w:ascii="Times New Roman" w:hAnsi="Times New Roman" w:cs="Times New Roman"/>
          <w:sz w:val="24"/>
          <w:szCs w:val="24"/>
          <w:lang w:val="ru-RU"/>
        </w:rPr>
        <w:t>Неизменно придерживаясь принципов упорной и самоотверженной борьбы, трудолюбия и бережливости, действуя с полной отдачей, но соразмерно своим возможностям, при разработке политических установок, выделении средств и выпуске облигационных займов мы в едином порядке учитывали потребности и возможности, текущие и перспективные интересы, сохраняли необходимую динамику финансовой поддержки, не допуская перерасхода средств на будущие периоды. Значительно сокращались «служебные расходы по трем статьям». Разумно был определен размер дефицита, за истекшие пять лет удельный вес бюджетного дефицита в ВВП в основном был удержан в пределах 3%, коэффициент долговой нагрузки правительства был удержан на уровне приблизительно 50% и оставался</w:t>
      </w:r>
      <w:bookmarkStart w:id="27" w:name="OLE_LINK501"/>
      <w:bookmarkStart w:id="28" w:name="OLE_LINK500"/>
      <w:r>
        <w:rPr>
          <w:rFonts w:ascii="Times New Roman" w:hAnsi="Times New Roman" w:cs="Times New Roman"/>
          <w:sz w:val="24"/>
          <w:szCs w:val="24"/>
          <w:lang w:val="ru-RU"/>
        </w:rPr>
        <w:t xml:space="preserve"> заметно низким </w:t>
      </w:r>
      <w:bookmarkEnd w:id="27"/>
      <w:bookmarkEnd w:id="28"/>
      <w:r>
        <w:rPr>
          <w:rFonts w:ascii="Times New Roman" w:hAnsi="Times New Roman" w:cs="Times New Roman"/>
          <w:sz w:val="24"/>
          <w:szCs w:val="24"/>
          <w:lang w:val="ru-RU"/>
        </w:rPr>
        <w:t>по сравнению с ведущими экономиками мира, что позволило оставить при этом пространство для разработки политики по реагированию на новые трудности и вызовы.</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За истекшее пятилетие, перед лицом ускоряющихся глобальных перемен, удара, нанесенного </w:t>
      </w:r>
      <w:r>
        <w:rPr>
          <w:rFonts w:ascii="Times New Roman" w:hAnsi="Times New Roman" w:cs="Times New Roman"/>
          <w:kern w:val="0"/>
          <w:sz w:val="24"/>
          <w:szCs w:val="24"/>
          <w:lang w:val="ru-RU"/>
        </w:rPr>
        <w:t xml:space="preserve">эпидемией </w:t>
      </w:r>
      <w:r>
        <w:rPr>
          <w:rFonts w:ascii="Times New Roman" w:hAnsi="Times New Roman" w:cs="Times New Roman"/>
          <w:sz w:val="24"/>
          <w:szCs w:val="24"/>
          <w:lang w:val="ru-RU"/>
        </w:rPr>
        <w:t xml:space="preserve">COVID-19, нисходящего тренда внутреннего экономического роста и других различных испытаний, в основном сохранялось стабильное </w:t>
      </w:r>
      <w:bookmarkStart w:id="29" w:name="OLE_LINK503"/>
      <w:bookmarkStart w:id="30" w:name="OLE_LINK502"/>
      <w:r>
        <w:rPr>
          <w:rFonts w:ascii="Times New Roman" w:hAnsi="Times New Roman" w:cs="Times New Roman"/>
          <w:sz w:val="24"/>
          <w:szCs w:val="24"/>
          <w:lang w:val="ru-RU"/>
        </w:rPr>
        <w:t>функционирование финансовых систем, бюджеты были выполнены довольно успешно, активная финансовая политика оказалась действенной и эффективной, интенсивно обеспечивалось устойчивое и долгосрочное развитие экономики нашей страны. Мы достигли этого главным образом благодаря твердому руководству со стороны ЦК КПК, ядром которого является товарищ Си Цзиньпин, и научно обоснованному ориентиру, которым являются идеи Си Цзиньпина о социализме с китайской спецификой новой эпохи. В то же время это результат усиленной проверки и контроля со стороны ВСНП, активного внесения предложений членами ВК НПКСК, результат совместных усилий всех районов, всех ведомств и многонационального народа страны.</w:t>
      </w:r>
    </w:p>
    <w:bookmarkEnd w:id="29"/>
    <w:bookmarkEnd w:id="30"/>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Отдавая должное успехам реформ и развития в финансовой сфере, мы в то же время понимаем, что еще существуют некоторые трудности и проблемы в исполнении бюджетов и выполнении финансовой работы. Основные из них заключаются в следующем: в настоящее время фундамент для восстановления нашей экономики все еще непрочен, в некоторых районах, особенно в низовых структурах, нарастают противоречия между финансовыми доходами и расходами. Некоторые ведомства и учреждения, злоупотребляя собственными полномочиями либо отраслевыми ресурсами, нарушают правила при взимании сборов, а некоторые предприятия получают возвращенную сумму переплаты по НДС путем мошенничества и совершают другие правонарушения. Все еще остается пространство для повышения эффективности использования бюджетных средств – некоторые расходные политустановки еще недостаточно детализированы и несовершенны, работа по результативному управлению оставляет желать лучшего. В некоторых районах наблюдается недоработанность плана реализации проектов, финансируемых за счет целевых облигаций, увязка работы по выпуску облигаций с предварительной подготовкой и соответствующей работой нуждается в усилении, отсутствует предварительный, текущий и последующий контроль во всех звеньях, что привело к тому, что в их бюджетах остались неиспользованные финансовые средства, и не был своевременно сформирован физический объем работ. То и дело возникали случаи увеличения новых скрытых долговых обязательств и поддельного погашения задолженности, в некоторых местах госпредприятия и бюджетные учреждения превращались в платформы для аккумуляции средств, у части городов и уездов наблюдался невысокий потенциал в погашении задолженности и сравнительно высокая вероятность возникновения долговых рисков. Некоторые районы и ведомства не в полной мере реализовывали требования о соблюдении режима экономии. Некоторые места, пользуясь лазейками и уклоняясь от порядка рассмотрения и утверждения, проводили строительство правительственных зданий, гостиниц и других комплексов в нарушение установленных правил. Некоторые служащие на низовом уровне, нарушив нормативные акты, не по назначению использовали или присваивали денежные средства, предназначенные для улучшения благосостояния народа. Часть посреднических структур не сыграла отведенной им роли в аудиторской проверке и оказании услуг по заверению. Ужесточение дисциплины и наведение порядка в финансово-экономической сфере по-прежнему остаются нелегкими и долгосрочными задачами. Мы будем уделять повышенное внимание вышеперечисленным проблемам и предпринимать активные меры для их решения.</w:t>
      </w:r>
    </w:p>
    <w:p>
      <w:pPr>
        <w:snapToGrid w:val="0"/>
        <w:spacing w:line="300" w:lineRule="auto"/>
        <w:ind w:firstLine="420"/>
        <w:rPr>
          <w:rFonts w:ascii="Times New Roman" w:hAnsi="Times New Roman" w:cs="Times New Roman"/>
          <w:sz w:val="24"/>
          <w:szCs w:val="24"/>
          <w:lang w:val="ru-RU"/>
        </w:rPr>
      </w:pPr>
    </w:p>
    <w:p>
      <w:pPr>
        <w:snapToGrid w:val="0"/>
        <w:spacing w:line="300" w:lineRule="auto"/>
        <w:ind w:firstLine="420"/>
        <w:rPr>
          <w:rFonts w:ascii="Times New Roman" w:hAnsi="Times New Roman" w:cs="Times New Roman"/>
          <w:sz w:val="24"/>
          <w:szCs w:val="24"/>
          <w:lang w:val="ru-RU"/>
        </w:rPr>
      </w:pPr>
    </w:p>
    <w:p>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II. О ПРОЕКТЕ ЦЕНТРАЛЬНОГО И </w:t>
      </w:r>
    </w:p>
    <w:p>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МЕСТНЫХ БЮДЖЕТОВ НА 2023 ГОД</w:t>
      </w:r>
    </w:p>
    <w:p>
      <w:pPr>
        <w:snapToGrid w:val="0"/>
        <w:spacing w:line="300" w:lineRule="auto"/>
        <w:ind w:firstLine="420"/>
        <w:rPr>
          <w:rFonts w:ascii="Times New Roman" w:hAnsi="Times New Roman" w:cs="Times New Roman"/>
          <w:b/>
          <w:sz w:val="24"/>
          <w:szCs w:val="24"/>
          <w:lang w:val="ru-RU"/>
        </w:rPr>
      </w:pP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2023 год – это первый год всестороннего претворения в жизнь духа XX Всекитайского съезда Коммунистической партии Китая, поэтому для нас крайне важно качественно составить бюджеты и успешно выполнить финансовую работу. Согласно решениям и планам ЦК КПК и Госсовета нам необходимо, придерживаясь системного подхода, отстаивая основополагающие принципы и внедряя инновации, эффективнее координировать работу по профилактике и контролю эпидемии COVID-19 и социально-экономическому развитию, лучшим образом сочетать эффективное повышение качества экономики с рациональным увеличением ее объема, в едином порядке планировать работу по осуществлению структурных реформ в сфере предложения и расширению внутреннего спроса, интенсифицировать согласованность экономической политики и политики в других областях, активнее выполнять работу по содействию внутренней и международной циркуляции, а также более полно учитывать текущие и перспективные интересы. Мы должны ставить на первое место сохранение стабильности, при этом продолжая поступательное движение вперед, на основе поддержания последовательности и стабильности политических установок наращивать необходимую финансовую поддержку восстановления и развития экономики, повышать совокупную эффективность макроэкономической политики, всемерно стремиться к достижению основных предполагаемых показателей социально-экономического развития на 2023 год.</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1. Анализ ситуации с финансовыми доходами и расходами на 2023 год</w:t>
      </w:r>
    </w:p>
    <w:p>
      <w:pPr>
        <w:adjustRightInd w:val="0"/>
        <w:snapToGrid w:val="0"/>
        <w:spacing w:line="300" w:lineRule="auto"/>
        <w:ind w:left="1"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В настоящий момент и в последующий период экономика Китая будет демонстрировать сильную стрессоустойчивость, огромный потенциал и достаточную энергичность, а также будет сохранять основную тенденцию к росту в долгосрочной перспективе. Наряду с этим во внешней обстановке нестабильность, неопределенность и непредсказуемость будут постоянно существовать, и во внутренней экономике останется ощутимым тройное давление: давление со стороны сокращения спроса, шока предложения и ослабления ожиданий. Растут факторы неопределенности и нестабильности в функционировании экономики, по-прежнему наблюдаются острые противоречия между финансовыми доходами и расходами. </w:t>
      </w:r>
      <w:r>
        <w:rPr>
          <w:rFonts w:ascii="Times New Roman" w:hAnsi="Times New Roman" w:cs="Times New Roman"/>
          <w:b/>
          <w:sz w:val="24"/>
          <w:szCs w:val="24"/>
          <w:lang w:val="ru-RU"/>
        </w:rPr>
        <w:t>С точки зрения финансовых доходов,</w:t>
      </w:r>
      <w:r>
        <w:rPr>
          <w:rFonts w:ascii="Times New Roman" w:hAnsi="Times New Roman" w:cs="Times New Roman"/>
          <w:sz w:val="24"/>
          <w:szCs w:val="24"/>
          <w:lang w:val="ru-RU"/>
        </w:rPr>
        <w:t xml:space="preserve"> в 2023 году ожидается подъем внутренней экономики в целом, кроме того, в результате централизованного осуществления масштабной политики возврата суммы превышения «входящего» НДС над «исходящим» в 2022 году базисная величина финансовых доходов находилась на относительно низком уровне, что заложило основу для их восстановительного роста. Тем не менее, фундамент для восстановления экономики пока еще не прочен, наблюдается сравнительно большая неопределенность в сфере финансовых доходов, дальнейшая разработка некоторых необходимых политических мер поддержки в области налогов и сборов также приведет к уменьшению объема финансовых доходов. </w:t>
      </w:r>
      <w:r>
        <w:rPr>
          <w:rFonts w:ascii="Times New Roman" w:hAnsi="Times New Roman" w:cs="Times New Roman"/>
          <w:b/>
          <w:sz w:val="24"/>
          <w:szCs w:val="24"/>
          <w:lang w:val="ru-RU"/>
        </w:rPr>
        <w:t>С точки зрения финансовых расходов,</w:t>
      </w:r>
      <w:r>
        <w:rPr>
          <w:rFonts w:ascii="Times New Roman" w:hAnsi="Times New Roman" w:cs="Times New Roman"/>
          <w:sz w:val="24"/>
          <w:szCs w:val="24"/>
          <w:lang w:val="ru-RU"/>
        </w:rPr>
        <w:t xml:space="preserve"> неизбежно будут расти расходы в таких ключевых направлениях, как решение важнейших научно-технических задач, подъем села, защита экологической среды и пр. В целях гарантирования </w:t>
      </w:r>
      <w:r>
        <w:rPr>
          <w:rFonts w:ascii="Times New Roman" w:hAnsi="Times New Roman" w:cs="Times New Roman"/>
          <w:kern w:val="0"/>
          <w:sz w:val="24"/>
          <w:szCs w:val="24"/>
          <w:lang w:val="ru-RU"/>
        </w:rPr>
        <w:t>базового уровня благосостояния населения с</w:t>
      </w:r>
      <w:r>
        <w:rPr>
          <w:rFonts w:ascii="Times New Roman" w:hAnsi="Times New Roman" w:cs="Times New Roman"/>
          <w:sz w:val="24"/>
          <w:szCs w:val="24"/>
          <w:lang w:val="ru-RU"/>
        </w:rPr>
        <w:t>ледует продолжать активизировать работу по восполнению недостатков</w:t>
      </w:r>
      <w:r>
        <w:rPr>
          <w:rFonts w:ascii="Times New Roman" w:hAnsi="Times New Roman" w:cs="Times New Roman"/>
          <w:kern w:val="0"/>
          <w:sz w:val="24"/>
          <w:szCs w:val="24"/>
          <w:lang w:val="ru-RU"/>
        </w:rPr>
        <w:t xml:space="preserve"> </w:t>
      </w:r>
      <w:r>
        <w:rPr>
          <w:rFonts w:ascii="Times New Roman" w:hAnsi="Times New Roman" w:cs="Times New Roman"/>
          <w:sz w:val="24"/>
          <w:szCs w:val="24"/>
          <w:lang w:val="ru-RU"/>
        </w:rPr>
        <w:t xml:space="preserve">в таких сферах, как обеспечение достойной старости, образование, </w:t>
      </w:r>
      <w:r>
        <w:rPr>
          <w:rFonts w:ascii="Times New Roman" w:hAnsi="Times New Roman" w:eastAsia="宋体" w:cs="Times New Roman"/>
          <w:sz w:val="24"/>
          <w:szCs w:val="24"/>
          <w:lang w:val="ru-RU"/>
        </w:rPr>
        <w:t>медицинское обслуживание и здравоохранение</w:t>
      </w:r>
      <w:r>
        <w:rPr>
          <w:rFonts w:ascii="Times New Roman" w:hAnsi="Times New Roman" w:cs="Times New Roman"/>
          <w:sz w:val="24"/>
          <w:szCs w:val="24"/>
          <w:lang w:val="ru-RU"/>
        </w:rPr>
        <w:t>.</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Следует оказывать поддержку в содействии скоординированному развитию регионов, наращивать потенциал по предоставлению «трех гарантий» в низовых структурах, притом нужно сохранять необходимую динамику в осуществлении трансфертных платежей. </w:t>
      </w:r>
      <w:r>
        <w:rPr>
          <w:rFonts w:ascii="Times New Roman" w:hAnsi="Times New Roman" w:cs="Times New Roman"/>
          <w:b/>
          <w:sz w:val="24"/>
          <w:szCs w:val="24"/>
          <w:lang w:val="ru-RU"/>
        </w:rPr>
        <w:t>Говоря в целом,</w:t>
      </w:r>
      <w:r>
        <w:rPr>
          <w:rFonts w:ascii="Times New Roman" w:hAnsi="Times New Roman" w:cs="Times New Roman"/>
          <w:sz w:val="24"/>
          <w:szCs w:val="24"/>
          <w:lang w:val="ru-RU"/>
        </w:rPr>
        <w:t xml:space="preserve"> в 2023 году ситуация с финансовыми доходами и расходами все еще остается серьезной. По отношению к существующим проблемам необходимо применять всесторонний подход и диалектическое мышление, а также учитывать долгосрочные перспективы. Мы должны, с одной стороны, понимать общую тенденцию развития и укреплять уверенность в развитии, а с другой, сохранять четкое представление и всегда готовиться к худшему сценарию. Мы обладаем достаточными условиями, уверенностью и возможностями для реагирования на различные риски и вызовы.</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2. Общие требования к составлению бюджетов и выполнению финансовой работы на 2023 год</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sz w:val="24"/>
          <w:szCs w:val="24"/>
          <w:lang w:val="ru-RU"/>
        </w:rPr>
        <w:t xml:space="preserve">Для того чтобы должным образом составить бюджеты и выполнить финансовую работу на 2023 год, </w:t>
      </w:r>
      <w:r>
        <w:rPr>
          <w:rFonts w:ascii="Times New Roman" w:hAnsi="Times New Roman" w:cs="Times New Roman"/>
          <w:b/>
          <w:sz w:val="24"/>
          <w:szCs w:val="24"/>
          <w:lang w:val="ru-RU"/>
        </w:rPr>
        <w:t>необходимо под твердым руководством ЦК КПК, ядром которого является товарищ Си Цзиньпин, руководствоваться идеями Си Цзиньпина о социализме с китайской спецификой новой эпохи, целиком и полностью претворять в жизнь дух XX съезда КПК. Следует в соответствии с планами, выдвинутыми на Центральном совещании по экономической работе, основательно продвигать китайскую модернизацию, придерживаться основного алгоритма работы – поступательного движения вперед при поддержании стабильности, полностью, точно и всесторонне реализовывать новую концепцию развития, ускорять формирование новой архитектоники развития, сосредоточивать силы на содействии высококачественному развитию, более полно учитывать внутреннюю и внешнюю обстановку, эффективнее координировать работу по профилактике и контролю эпидемии COVID-19 и социально-экономическому развитию, а также работу в сфере развития и безопасности. При проведении активной финансовой политики необходимо стараться наращивать динамику и повышать эффективность, делая упор на повышение ее целенаправленности и устойчивости. Нам необходимо совершенствовать льготную политику в сфере налогов и сборов, усиливать единое планирование финансовых ресурсов, сохранять необходимую интенсивность финансовых расходов. Активно оптимизировать структуру расходов, укреплять финансовое обеспечение важнейших государственных стратегических задач, строго соблюдать экономию в партийных и правительственных органах, надежно удовлетворять основные требования работы по «трем гарантиям» в низах и повышать эффективность распределения финансовых ресурсов. Необходимо усиливать оценку предельных финансовых возможностей, обеспечивать устойчивость функционирования финансов и контролируемость долговых рисков местных правительств. Совершенствовать современную бюджетную систему, оптимизировать структуру налоговой системы и улучшать систему финансовых трансфертных платежей, а также продолжать углублять реформу бюджетно-налоговой системы, наращивать эффективность макрорегулирования финансов, содействовать общему улучшению функционирования экономики и добиться эффективного повышения качества экономики и рационального увеличения ее объема, продолжать улучшать благосостояние народа, поддерживать общую стабильность в обществе, всемерно стремиться к тому, чтобы оказать действенную поддержку в обеспечении хорошего начала для всестороннего строительства модернизированного социалистического государства.</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При проведении активной финансовой политики необходимо стараться наращивать динамику и повышать ее эффективность, прилагать дополнительные усилия для рационального увеличения расходов и оптимизации их структуры, уделяя особое внимание обеспечению согласованного применения этой политики вместе с монетарной, производственной, научно-технической, социальной и другой политикой, чтобы более непосредственно и эффективно выявлять роль активной финансовой политики.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Наращивание динамики </w:t>
      </w:r>
      <w:r>
        <w:rPr>
          <w:rFonts w:ascii="Times New Roman" w:hAnsi="Times New Roman" w:cs="Times New Roman"/>
          <w:sz w:val="24"/>
          <w:szCs w:val="24"/>
          <w:lang w:val="ru-RU"/>
        </w:rPr>
        <w:t xml:space="preserve">главным образом проявляется в усилении единого планирования бюджетных средств, оптимизации комбинирования таких инструментов, как бюджетный дефицит, целевые облигации и субсидирование процентных ставок по кредитам, а также в увеличении объема финансовых расходов и поддержании их необходимой интенсивности. Расходы обычного общественного бюджета по всей стране планируются в размере 27513 млрд юаней с увеличением на 5,6%. </w:t>
      </w:r>
      <w:r>
        <w:rPr>
          <w:rFonts w:ascii="Times New Roman" w:hAnsi="Times New Roman" w:cs="Times New Roman"/>
          <w:b/>
          <w:sz w:val="24"/>
          <w:szCs w:val="24"/>
          <w:lang w:val="ru-RU"/>
        </w:rPr>
        <w:t xml:space="preserve">Во-первых, умеренно повышать удельный вес бюджетного дефицита в ВВП. </w:t>
      </w:r>
      <w:r>
        <w:rPr>
          <w:rFonts w:ascii="Times New Roman" w:hAnsi="Times New Roman" w:cs="Times New Roman"/>
          <w:sz w:val="24"/>
          <w:szCs w:val="24"/>
          <w:lang w:val="ru-RU"/>
        </w:rPr>
        <w:t>В 2023 году</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удельный вес бюджетного дефицита в ВВП планируется в размере 3%, что на 0,2 процентного пункта выше показателя прошлого года. Финансовый дефицит по всей стране составит 3880 млрд юаней, что на 510 млрд юаней больше, чем в прошлом году. В частности, дефицит центрального бюджета составит 3160 млрд юаней, что на 510 млрд юаней больше показателя 2022 года, а дефицит местных бюджетов – 720 млрд юаней, что останется на том же уровне, что и в прошлом году. </w:t>
      </w:r>
      <w:r>
        <w:rPr>
          <w:rFonts w:ascii="Times New Roman" w:hAnsi="Times New Roman" w:cs="Times New Roman"/>
          <w:b/>
          <w:sz w:val="24"/>
          <w:szCs w:val="24"/>
          <w:lang w:val="ru-RU"/>
        </w:rPr>
        <w:t xml:space="preserve">Во-вторых, в рациональной мере расширять масштабы целевых облигаций местных правительств. </w:t>
      </w:r>
      <w:r>
        <w:rPr>
          <w:rFonts w:ascii="Times New Roman" w:hAnsi="Times New Roman" w:cs="Times New Roman"/>
          <w:sz w:val="24"/>
          <w:szCs w:val="24"/>
          <w:lang w:val="ru-RU"/>
        </w:rPr>
        <w:t xml:space="preserve">Лимит новых целевых долгов планируется на уровне 3800 млрд юаней, что на 150 млрд юаней больше прошлогоднего показателя. Предстоит в разумной мере расширять сферы направления целевых облигаций и охват их использования в качестве уставного капитала проектов, обеспечивать целесообразные потребности в финансировании на местах. </w:t>
      </w:r>
      <w:r>
        <w:rPr>
          <w:rFonts w:ascii="Times New Roman" w:hAnsi="Times New Roman" w:cs="Times New Roman"/>
          <w:b/>
          <w:sz w:val="24"/>
          <w:szCs w:val="24"/>
          <w:lang w:val="ru-RU"/>
        </w:rPr>
        <w:t xml:space="preserve">В-третьих, усиливать динамику трансфертных платежей из центрального бюджета в местные. </w:t>
      </w:r>
      <w:r>
        <w:rPr>
          <w:rFonts w:ascii="Times New Roman" w:hAnsi="Times New Roman" w:cs="Times New Roman"/>
          <w:sz w:val="24"/>
          <w:szCs w:val="24"/>
          <w:lang w:val="ru-RU"/>
        </w:rPr>
        <w:t>Объем трансфертных платежей из центрального бюджета в местные планируется в размере</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10062,5 млрд юаней с увеличением на</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3,6% (за исключением целевых трансфертов, включая единовременные выплаты на оказание поддержки низовым структурам в реализации мер по сокращению налогов и сборов и на приоритетные проекты по улучшению жизни народа, прирост составит 7,9%). В частности, обычные трансферты составят 8712,571 млрд юаней с увеличением на 7,6%, а целевые трансферты (включая инвестиции из центрального бюджета) – 849,929 млрд юаней с приростом 11,6%. Кроме того, объем единовременных целевых трансфертов на оказание поддержки низовым структурам в реализации мер по сокращению налогов и сборов и на приоритетные проекты по улучшению жизни народа планируется в размере 500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Повышение эффективности</w:t>
      </w:r>
      <w:r>
        <w:rPr>
          <w:rFonts w:ascii="Times New Roman" w:hAnsi="Times New Roman" w:cs="Times New Roman"/>
          <w:sz w:val="24"/>
          <w:szCs w:val="24"/>
          <w:lang w:val="ru-RU"/>
        </w:rPr>
        <w:t xml:space="preserve"> главным образом означает повышение эффективности распределения финансовых ресурсов, реализации финансовой политики и использования денежных средств посредством углубления реформ и усиления управления. </w:t>
      </w:r>
      <w:r>
        <w:rPr>
          <w:rFonts w:ascii="Times New Roman" w:hAnsi="Times New Roman" w:cs="Times New Roman"/>
          <w:b/>
          <w:sz w:val="24"/>
          <w:szCs w:val="24"/>
          <w:lang w:val="ru-RU"/>
        </w:rPr>
        <w:t xml:space="preserve">Во-первых, продолжать оптимизировать структуру финансовых расходов. </w:t>
      </w:r>
      <w:r>
        <w:rPr>
          <w:rFonts w:ascii="Times New Roman" w:hAnsi="Times New Roman" w:cs="Times New Roman"/>
          <w:sz w:val="24"/>
          <w:szCs w:val="24"/>
          <w:lang w:val="ru-RU"/>
        </w:rPr>
        <w:t>Сосредоточивая внимание на содействии высококачественному развитию, необходимо увеличивать инвестиции в слабые звенья и ключевые области социально-экономического развития, оказывать активную поддержку в развитии таких ключевых сфер, как научно-технические разработки, подъем села, важнейшие стратегии регионального развития, образование, обеспечение базового уровня благосостояния населения и зеленое развитие. Собственные расходы центрального бюджета должны в приоритетном порядке направляться на обеспечение расходов на создание центральных резервов материальных ресурсов, на выпуск госзаймов и выплату процентов по ним, а также других обязательных и приоритетных расходов. Расходы центральных ведомств на основе многолетнего непрерывного осуществления строгого ограничения планируется сохранить в целом на уровне прошлого года.</w:t>
      </w:r>
      <w:r>
        <w:rPr>
          <w:rFonts w:ascii="Times New Roman" w:hAnsi="Times New Roman" w:cs="Times New Roman"/>
          <w:b/>
          <w:sz w:val="24"/>
          <w:szCs w:val="24"/>
          <w:lang w:val="ru-RU"/>
        </w:rPr>
        <w:t xml:space="preserve"> Во-вторых, усиливать целенаправленность и адресность льготной политики в сфере налогов и сборов. </w:t>
      </w:r>
      <w:r>
        <w:rPr>
          <w:rFonts w:ascii="Times New Roman" w:hAnsi="Times New Roman" w:cs="Times New Roman"/>
          <w:sz w:val="24"/>
          <w:szCs w:val="24"/>
          <w:lang w:val="ru-RU"/>
        </w:rPr>
        <w:t>Необходимо,</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всесторонне оценивая и анализируя действующие политические меры по сокращению налогов и сборов, по возврату налогов и отсрочке по их уплате, учитывая фактические потребности предприятий в ходе нынешнего экономического развития, усиливать стыковку прошлогодних и текущих политических установок, принимать дифференцированные меры по их продолжению, оптимизации, регулированию, активизации и др., избегать нарушения преемственности политики или резкого изменения ее направления. Необходимо сочетать промежуточные меры и институциональные механизмы, делая акцент на приоритетных направлениях работы, уделять особое внимание поддержке обрабатывающей промышленности, средних, малых и микропредприятий, а также индивидуального бизнеса и отраслей, находящихся в особо трудном положении, чтобы содействовать трансформации и модернизации предприятий и повышению их инновационного потенциала. </w:t>
      </w:r>
      <w:r>
        <w:rPr>
          <w:rFonts w:ascii="Times New Roman" w:hAnsi="Times New Roman" w:cs="Times New Roman"/>
          <w:b/>
          <w:sz w:val="24"/>
          <w:szCs w:val="24"/>
          <w:lang w:val="ru-RU"/>
        </w:rPr>
        <w:t xml:space="preserve">В-третьих, повышать эффективность использования финансовых средств. </w:t>
      </w:r>
      <w:r>
        <w:rPr>
          <w:rFonts w:ascii="Times New Roman" w:hAnsi="Times New Roman" w:cs="Times New Roman"/>
          <w:sz w:val="24"/>
          <w:szCs w:val="24"/>
          <w:lang w:val="ru-RU"/>
        </w:rPr>
        <w:t>Следует интенсифицировать результативное управление бюджетами, придавать еще большее значение ориентации на достижение результатов, подчеркивать важность себестоимости и эффективности, ужесточать ограничения с помощью привлечения к ответственности, всемерно обеспечивать проведение оценки результативности расходования бюджетных средств и привлекать соответствующие лица к ответственности за их неэффективное использование. Необходимо продолжать совершенствовать механизм прямого перечисления бюджетных средств и усиливать контроль над исполнением бюджетов, чтобы действительно использовать ценнейшие бюджетные средства на самые необходимые нужды.</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Наряду с этим, необходимо </w:t>
      </w:r>
      <w:r>
        <w:rPr>
          <w:rFonts w:ascii="Times New Roman" w:hAnsi="Times New Roman" w:cs="Times New Roman"/>
          <w:b/>
          <w:sz w:val="24"/>
          <w:szCs w:val="24"/>
          <w:lang w:val="ru-RU"/>
        </w:rPr>
        <w:t xml:space="preserve">в большей степени обеспечивать устойчивость </w:t>
      </w:r>
      <w:r>
        <w:rPr>
          <w:rFonts w:ascii="Times New Roman" w:hAnsi="Times New Roman" w:cs="Times New Roman"/>
          <w:sz w:val="24"/>
          <w:szCs w:val="24"/>
          <w:lang w:val="ru-RU"/>
        </w:rPr>
        <w:t>бюджетов. Мы должны более полно учитывать текущие и перспективные интересы, в соответствии с принципом «действовать с полной отдачей, но соразмерно своим возможностям» разумно планировать политику бюджетных доходов и расходов. Перед разработкой важнейших политических установок, связанных с увеличением бюджетных расходов, и реализацией важнейших проектов правительственных инвестиций необходимо согласно правилам произвести оценку финансовых возможностей во избежание завышенных обещаний и чрезмерного финансового обеспечения. Партийные и правительственные органы должны неукоснительно выполнять требования «учета каждой копейки», строго соблюдать режим экономии во всех делах. Необходимо ужесточать бюджетные ограничения, усиливать контроль и проверку работы по осуществлению финансово-экономических систем, реализации важных финансово-налоговых политических установок и использованию финансовых средств, продолжать ужесточать финансово-экономическую дисциплину. Следует предотвращать и устранять риски, связанные с долговыми обязательствами местных правительств, обеспечивать стабильное функционирование бюджетов на низовом уровне, строго закреплять ответственность разных сторон, твердо удерживая нижнюю планку недопущения системных рисков.</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3. Главные направления политики бюджетных доходов и расходов на 2023 год</w:t>
      </w:r>
    </w:p>
    <w:p>
      <w:pPr>
        <w:adjustRightInd w:val="0"/>
        <w:snapToGrid w:val="0"/>
        <w:spacing w:line="300" w:lineRule="auto"/>
        <w:rPr>
          <w:rFonts w:ascii="Times New Roman" w:hAnsi="Times New Roman" w:cs="Times New Roman"/>
          <w:b/>
          <w:sz w:val="24"/>
          <w:szCs w:val="24"/>
          <w:lang w:val="ru-RU"/>
        </w:rPr>
      </w:pPr>
      <w:r>
        <w:rPr>
          <w:rFonts w:ascii="Times New Roman" w:hAnsi="Times New Roman" w:cs="Times New Roman"/>
          <w:b/>
          <w:sz w:val="24"/>
          <w:szCs w:val="24"/>
          <w:lang w:val="ru-RU"/>
        </w:rPr>
        <w:tab/>
      </w:r>
      <w:r>
        <w:rPr>
          <w:rFonts w:ascii="Times New Roman" w:hAnsi="Times New Roman" w:cs="Times New Roman"/>
          <w:b/>
          <w:sz w:val="24"/>
          <w:szCs w:val="24"/>
          <w:lang w:val="ru-RU"/>
        </w:rPr>
        <w:t>1) Активизация роли бюджетных средств в стабилизации инвестиций и стимулировании потребления, сосредоточение усилий на расширении внутреннего спроса</w:t>
      </w: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Стимулировать восстановление и расширение потребления.</w:t>
      </w:r>
      <w:r>
        <w:rPr>
          <w:rFonts w:ascii="Times New Roman" w:hAnsi="Times New Roman" w:cs="Times New Roman"/>
          <w:sz w:val="24"/>
          <w:szCs w:val="24"/>
          <w:lang w:val="ru-RU"/>
        </w:rPr>
        <w:t xml:space="preserve"> Ставя на приоритетное место восстановление и расширение потребления, предстоит усиливать регулирование дохода за счет социального обеспечения, трансфертных платежей и других мер, при помощи различных мер увеличивать доходы населения, стимулировать полное высвобождение потребительского потенциала. Адаптируясь к тенденции повышения уровня потребления, ускорять формирование и развитие сферы культуры, туризма, обслуживания пожилых людей и других новых точек роста потребления. Качественно используя средства на развитие сферы услуг, стимулировать повышение эффективности их обращения, содействовать расширению объема и повышению уровня потребления. Необходимо оказывать поддержку особо выделенным городам в усилении формирования системы обращения и обеспечения поставки товаров, повышении возможностей в обеспечении снабжения предметами первой необходимости. Оказывать поддержку новой группе государственных комплексных узлов грузовых перевозок в восполнении недостатков и укреплении слабых звеньев в цепочках поставок, обеспечении бесперебойности логистической сети. Продолжать поддерживать осуществление мероприятий по развитию коммерческой деятельности на территории уездов, в полной мере раскрывать потребительский потенциал уездов и волостей. Поощрять выдачу соответствующих пособий и субсидирование процентных ставок по кредитам при приобретении «зеленой» и интеллектуальной бытовой электротехники, «зеленых» стройматериалов, энергосберегающей продукции в тех районах, которые имеют для этого необходимые условия.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Усиливать роль правительственных инвестиций в ориентировании и стимулировании инвестиций всего общества. </w:t>
      </w:r>
      <w:r>
        <w:rPr>
          <w:rFonts w:ascii="Times New Roman" w:hAnsi="Times New Roman" w:cs="Times New Roman"/>
          <w:sz w:val="24"/>
          <w:szCs w:val="24"/>
          <w:lang w:val="ru-RU"/>
        </w:rPr>
        <w:t>Правительственные инвестиции будут использованы для наращивания динамики укрепления основы, обеспечения долгосрочного развития, восполнения недостатков и регулирования структуры, конкретно говоря, для поддержки ускоренной реализации важнейших проектов в рамках 14-й пятилетки, для усиления строительства транспортной, энергетической, гидротехнической, сельскохозяйственной, информационной инфраструктуры и других объектов. Надлежащим образом выполнять предварительную подготовительную работу по проектам, финансируемым за счет целевых облигаций местных правительств, улучшать качество резервных проектов, в разумной мере повышать уровень централизованного использования облигационных средств, в приоритетном порядке оказывать поддержку более зрелым проектам и строящимся объектам. Придавая большое значение результативности капиталовложений правительства, предотвращать бездумное увеличение их объема, поощрять и привлекать больше частного капитала. С учетом необходимости восполнять нехватку собственных средств центрального бюджета на развитие водного транспорта после отмены сборов на портовое строительство и других факторов планируется выделить из центрального бюджета инвестиции в размере 680 млрд юаней с увеличением на 40 млрд юаней, которые будут направлены на поддержку восполнения недостатков в ключевых сферах. Развертывать новую серию образцово-показательных проектов по системному внедрению на всей территории города технологий «губчатого города», поддерживать ускорение городского обновления.</w:t>
      </w:r>
    </w:p>
    <w:p>
      <w:pPr>
        <w:adjustRightInd w:val="0"/>
        <w:snapToGrid w:val="0"/>
        <w:spacing w:line="300" w:lineRule="auto"/>
        <w:ind w:firstLine="420"/>
        <w:rPr>
          <w:rFonts w:ascii="Times New Roman" w:hAnsi="Times New Roman" w:cs="Times New Roman"/>
          <w:sz w:val="24"/>
          <w:szCs w:val="24"/>
          <w:highlight w:val="cyan"/>
          <w:lang w:val="ru-RU"/>
        </w:rPr>
      </w:pPr>
      <w:r>
        <w:rPr>
          <w:rFonts w:ascii="Times New Roman" w:hAnsi="Times New Roman" w:cs="Times New Roman"/>
          <w:b/>
          <w:sz w:val="24"/>
          <w:szCs w:val="24"/>
          <w:lang w:val="ru-RU"/>
        </w:rPr>
        <w:t>Поддерживать усиление мер по стабилизации внешней торговли.</w:t>
      </w:r>
      <w:r>
        <w:rPr>
          <w:rFonts w:ascii="Times New Roman" w:hAnsi="Times New Roman" w:cs="Times New Roman"/>
          <w:sz w:val="24"/>
          <w:szCs w:val="24"/>
          <w:lang w:val="ru-RU"/>
        </w:rPr>
        <w:t xml:space="preserve"> Углубленно реализовывать соглашение о Всестороннем региональном экономическом партнерстве и другие соглашения о свободной торговле, активно распространять данные соглашения и ориентировать места и предприятия на их эффективное и полное использование. Совершенствовать таможенную политику, политику взимания налогов при импорте и возвращения налоговых выплат при экспорте, оптимизировать форму поддержки в виде целевых средств на развитие внешней экономики и торговли. Поощрять развитие трансграничной электронной коммерции, зарубежных складов и других новых форм хозяйствования во внешней торговле. Расширять импорт передовых технологий, важного оборудования, энергетических ресурсов и других видов продукции. Углубленно осуществлять образцово-показательные проекты по повышению качества и эффективности внешней экономики и торговли, чтобы обеспечить стабильность внешней торговли и содействовать модернизации производств, раскрывать поддерживающую роль экспорта в экономике. Важно привести себя в соответствие с международными торгово-экономическими правилами высокого стандарта, поддерживать реформы и инновации в пилотных зонах свободной торговли. Необходимо наращивать финансовую поддержку, постепенно расширять список товаров с нулевой ставкой ввозной пошлины, усиливать стресс-тестирование, ускорять создание Хайнаньского порта свободной торговли.</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2) Содействие укреплению собственного потенциала в области науки и техники на высоком уровне, поддерживать формирование современной производственной системы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Повышать эффективность инвестиций в науку и технику. </w:t>
      </w:r>
      <w:r>
        <w:rPr>
          <w:rFonts w:ascii="Times New Roman" w:hAnsi="Times New Roman" w:cs="Times New Roman"/>
          <w:sz w:val="24"/>
          <w:szCs w:val="24"/>
          <w:lang w:val="ru-RU"/>
        </w:rPr>
        <w:t>Важно совершенствовать механизм управления финансовыми средствами в соответствии с новой общенациональной системой, сосредоточивать преимущественные силы и ресурсы, прилагать максимум усилий для поддержки выполнения сложнейших задач по освоению основных ключевых технологий, эффективнее раскрывать организационную роль правительства в интенсивной разработке основных ключевых технологий. Предстоит увеличивать интенсивность вложений в фундаментальные исследования, совершенствовать систему финансовой поддержки за счет Государственного фонда естественных наук, осуществлять целевые пилотные проекты по поддержке специалистов в области фундаментальных исследований. В соответствии с принципом «запуска новых проектов вскоре после созревания условий» поддерживать реализацию программы «Научно-технические инновации 2030 – мегапроекты». Необходимо изучать возможность для оптимизации структуры расходов на науку и технику, усиливать единое планирование задач и бюджетных ассигнований во избежание повторного выделения денежных средств. Прорабатывать вопрос об углублении реформы механизма распределения и использования бюджетных ассигнований на науку и технику, наделить ученых более широкими правами в области принятия решений по техническим дорожным картам и использования финансовых средств. Предстоит поддерживать запуск первой организованной Китаем международной научной мегапрограммы, изучать возможность для создания механизма управления денежными средствами, соответствующего особенностям международных научных мегапрограмм и мегапроектов, усиливать международное сотрудничество в области науки и техники.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Наращивать стратегическую научно-техническую мощь государства.</w:t>
      </w:r>
      <w:r>
        <w:rPr>
          <w:rFonts w:ascii="Times New Roman" w:hAnsi="Times New Roman" w:cs="Times New Roman"/>
          <w:sz w:val="24"/>
          <w:szCs w:val="24"/>
          <w:lang w:val="ru-RU"/>
        </w:rPr>
        <w:t xml:space="preserve"> Способствовать оптимизации позиционирования и размещения государственных НИИ, исследовательских вузов высокого уровня и предприятий-лидеров в сфере науки и техники, поддерживать реформы и развитие научно-исследовательских институтов центрального уровня. Оказывать содействие в создании и обеспечении функционирования государственных лабораторий и реорганизации ведущих лабораторий по всей стране в целях формирования системы государственных лабораторий с китайской спецификой. Поддерживать строительство инновационно-технологических центров, индустриально-инновационных центров, инженерно-исследовательских центров, государственных инновационных центров в  сфере обрабатывающей промышленности и др. Активизировать роль предприятий как субъектов научно-технических инноваций, поощрять предприятия к более активному исполнению роли инициаторов реализации государственных научно-технических проектов. Из центрального бюджета планируется выделить 6,5 млрд юаней с увеличением на 2 млрд юаней для направления научно-технического развития на местах, содействовать строительству региональных лидирующих инновационных площадок, обладающих собственными спецификами. Оказывать высшим учебным заведениям, НИИ и предприятиям поддержку во всесторонней подготовке, привлечении и эффективном использовании научно-технических специалистов, активизировать поддержку одаренных молодых научно-технических работников, ускорять работу по созданию ведущего мирового центра высококвалифицированных специалистов. Содействовать укреплению потенциала в популяризации научных знаний на государственном уровне. </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Способствовать оптимизации и модернизации производственной структуры. </w:t>
      </w:r>
      <w:r>
        <w:rPr>
          <w:rFonts w:ascii="Times New Roman" w:hAnsi="Times New Roman" w:cs="Times New Roman"/>
          <w:sz w:val="24"/>
          <w:szCs w:val="24"/>
          <w:lang w:val="ru-RU"/>
        </w:rPr>
        <w:t>Последовательно развивать производства за счет выявления поддерживающей роли науки и техники, стимулировать совершенствование системы научно-технических инноваций, способствующих развитию производств. Целевые средства, выделяемые для содействия реконструкции базовых отраслей производства и высококачественному развитию обрабатывающей промышленности, составят 13,3 млрд юаней с увеличением на 4,4 млрд юаней, которые будут использованы преимущественно для поддержки развития таких ключевых отраслей производства, как интегральная схема и др. Будут реализованы политические меры поддержки в сфере налогообложения, правительственных закупок, субсидирования страховых взносов на страхование впервые выпускаемого ключевого (комплектного) технического оборудования с целью содействовать реконструкции и модернизации традиционных отраслей производства и развитию таких нарождающихся отраслей стратегического значения, как информационные технологии нового поколения, высокотехническое оборудование и новые материалы. Следует оптимизировать управление и функционирование государственного фонда по ориентированию внедрения научно-технических достижений, оказывать поддержку в создании системы обслуживания в сфере использования прав интеллектуальной собственности, чтобы ускорить процесс коммерциализации и внедрения в производство результатов научно-технических исследований и запатентованных технологий. Проработать вопрос о поддержке развития предприятий – «малых гигантов», отличающихся специализацией производства, детализацией управления, уникальностью продукции и активизацией инновационной деятельности. Усиливать поддержку обеспечения производственных цепочек в стратегически важных сферах, а также поддержку средних и малых предприятий в базовых отраслях промышленности. Продолжать содействовать реализации пилотных проектов цифровой трансформации средних и малых предприятий. Активно наращивать потенциал Китая в обеспечении государственных стратегических резервов, в разумной степени увеличивать объем резервов. Продолжать осуществлять политику по освобождению покупателей от уплаты налога на приобретение автомобилей на новых источниках энергии, поддерживать распространение и использование такого вида автомобилей.</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3) Последовательное улучшение форм реализации политики, непрерывное повышение жизнеспособности разных предприятий</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Совершенствовать льготную политику в сфере налогов и сборов. </w:t>
      </w:r>
      <w:r>
        <w:rPr>
          <w:rFonts w:ascii="Times New Roman" w:hAnsi="Times New Roman" w:cs="Times New Roman"/>
          <w:sz w:val="24"/>
          <w:szCs w:val="24"/>
          <w:lang w:val="ru-RU"/>
        </w:rPr>
        <w:t>Следуя принципу стабилизации налогового бремени на макроуровне и комплексно учитывая требования оказания поддержки предприятиям в преодолении трудностей, обеспечения бюджетной устойчивости и оптимизации налоговой системы, мы должны продолжать совершенствовать политические меры по сокращению налогов и сборов, возврату налогов и отсрочке по их уплате и т.д. Для малых налогоплательщиков ставка НДС временно будет снижена до 1%, продолжится реализация мер по освобождению от НДС малых налогоплательщиков, у которых месячный объем продаж не превышает 100 тыс. юаней, в отношении налогоплательщиков, предоставляющих производственные и бытовые услуги, будут осуществлены дополнительные вычеты по НДС в размере 5% и 10% соответственно. На определенный срок будут продлены льготы по личному подоходному налогу и другие политические меры, срок действия которых уже истек. Сосредоточивая внимание на научно-технических инновациях, ключевых производственных цепочках и других сферах, мы будем в соответствии с реальными условиями разрабатывать новые адресные меры по сокращению налогов и сборов. С учетом конкретных трудностей предприятий будет в соответствии с законом на определенный период времени продлена отсрочка по уплате налогов средним, малым и микропредприятиям обрабатывающей промышленности, которые испытывали трудности с выплатой налогов в срок. Предстоит своевременно разрешать острые проблемы, вызывающие негативную реакцию у субъектов рынка, прилагать неустанные усилия для пресечения нарушений правил при взимании сборов с предприятий, предотвращать взимание необоснованных сборов, штрафов и поборов.</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Основательно следовать принципу неизменного укрепления и развития общественного сектора экономики, а также неизменного стимулирования, поддержки и ориентирования развития необщественного сектора.</w:t>
      </w:r>
      <w:r>
        <w:rPr>
          <w:rFonts w:ascii="Times New Roman" w:hAnsi="Times New Roman" w:cs="Times New Roman"/>
          <w:sz w:val="24"/>
          <w:szCs w:val="24"/>
          <w:lang w:val="ru-RU"/>
        </w:rPr>
        <w:t xml:space="preserve"> Необходимо</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ускоренно стимулировать формирование первоклассной интернационализированной бизнес-среды, функционирующей на основе соблюдения рыночных принципов и принципов верховенства закона. Оптимизировать структуру расходов бюджета хозяйствования госкапиталом, поддерживать углубление реформ госкапитала и госпредприятий, активизировать оптимизацию размещения государственного сектора экономики и его структурное регулирование, наращивать основную конкурентоспособность госпредприятий. Обеспечивать одинаковое и равное отношение к различным субъектам рынка в области предоставления финансовых дотаций и налоговых льгот, правительственных закупок и т.д., поддерживать развитие негосударственных предприятий, средних, малых и микропредприятий, а также индивидуального бизнеса. Раскрывать роль учреждений по предоставлению правительственных финансовых гарантий, продолжать осуществлять меры по предоставлению премий и дотаций за снижение комиссий на финансовые гарантии для малых и микропредприятий, тем самым стимулировать увеличение объема финансирования и расширение его охвата для средних и малых предприятий.</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 xml:space="preserve">4) Укрепление финансового обеспечения в области подъема села, приложение усилий для содействия интегрированному развитию города и села и согласованному развитию регионов </w:t>
      </w:r>
    </w:p>
    <w:p>
      <w:pPr>
        <w:tabs>
          <w:tab w:val="left" w:pos="4536"/>
        </w:tabs>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Всесторонне укреплять фундамент обеспечения продовольственной безопасности. </w:t>
      </w:r>
      <w:r>
        <w:rPr>
          <w:rFonts w:ascii="Times New Roman" w:hAnsi="Times New Roman" w:cs="Times New Roman"/>
          <w:sz w:val="24"/>
          <w:szCs w:val="24"/>
          <w:lang w:val="ru-RU"/>
        </w:rPr>
        <w:t>Необходимо совершенствовать механизм обеспечения доходов крестьян-производителей зерновых и механизм выплаты главным житницам компенсации за утраченную выгоду. На стабильной основе реализовывать политику по выдаче дотаций на сохранение плодородия почв пахотных земель, совершенствовать политику субсидирования производителей кукурузы и соевых бобов, продолжать повышать минимальные закупочные цены на пшеницу, устанавливать разумные минимальные закупочные цены на рис, увеличивать размер премирования крупных зернопроизводящих уездов. Планируется выделить 45,9 млрд юаней на субсидирование взносов на аграрное страхование, чтобы расширить охват страхованием полной себестоимости выращивания риса, пшеницы и кукурузы, а также страхованием доходов от их выращивания. Придерживаясь принципа уделения равного внимания как созданию новых угодий, так и реконструкции и модернизации имеющихся пахотных земель, поддерживать строительство сельскохозяйственных угодий высокого стандарта, интенсифицировать охрану и использование черноземов. Интенсивно реализовывать план действий по возрождению селекции в целях поддержки развития и укрепления отечественного семеноводства. Продолжать осуществлять политику выдачи дотаций на приобретение и использование сельхозтехники, усиливать разработку и изготовление крупных высокотехнологичных интеллектуальных сельскохозяйственных машин отечественного производства. Поддерживать ускоренное развитие социализированных услуг в сфере сельского хозяйства, оказывать местным правительствам содействие в направлении мелкокрестьянского хозяйства в русло развития современного сельского хозяйства с помощью различных организаций, предоставляющих специализированные услуги на основании рыночных принципов. Планомерно способствовать полосовому совместному выращиванию сои и кукурузы, поддерживать развертывание мероприятий по увеличению объема производства и улучшению качества говядины и баранины, а также мероприятий по развитию молочного хозяйства, как следует реализовывать политику поддержки развития рыболовства, содействовать ускоренному развитию отрасли выращивания масличной камелии, поддерживать работу по стабилизации производства и обеспечению снабжения основными видами сельхозпродукции.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Закреплять и расширять результаты интенсивной борьбы с бедностью. </w:t>
      </w:r>
      <w:r>
        <w:rPr>
          <w:rFonts w:ascii="Times New Roman" w:hAnsi="Times New Roman" w:cs="Times New Roman"/>
          <w:sz w:val="24"/>
          <w:szCs w:val="24"/>
          <w:lang w:val="ru-RU"/>
        </w:rPr>
        <w:t xml:space="preserve">Предполагается дальнейшее увеличение размера субсидий из центрального бюджета на стимулирование подъема села за счет увязки с закреплением результатов данной борьбы. Планируется выделить 175 млрд юаней с увеличением на 10 млрд юаней, эти средства будут направлены приоритетно в те районы, которые обладают слабой экономической базой для подъема села. В контексте содействия закреплению и расширению результатов интенсивной борьбы с бедностью в выбравшихся из нищеты районах при большей опоре на их собственное развитие, необходимо четко определить приоритетные сферы направления средств, в первую очередь оказывать поддержку в развитии отраслей производства, способствующих объединению и поощрению крестьян, а также увеличению их доходов. Мы будем усиленно содействовать увеличению доли средств на развитие отраслей производства более чем до 60% в общем объеме субсидий, выделенных в рамках программы стимулирования подъема села за счет эффективной увязки с закреплением результатов борьбы с бедностью, чтобы стимулировать повышение уровня и качества отраслей производства, которые получают вышеуказанную поддержку. Наряду с этим необходимо должным образом реализовывать политику поддержки в сфере образования, науки и техники, культуры и т.д., укреплять внутренние движущие силы развития у районов и народных масс, избавившихся от бедности. </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Продвигать строительство гармоничных и прекрасных деревень, благоприятных для жизни и работы.</w:t>
      </w:r>
      <w:r>
        <w:rPr>
          <w:rFonts w:ascii="Times New Roman" w:hAnsi="Times New Roman" w:cs="Times New Roman"/>
          <w:sz w:val="24"/>
          <w:szCs w:val="24"/>
          <w:lang w:val="ru-RU"/>
        </w:rPr>
        <w:t xml:space="preserve"> Необходимо на основе единого планирования стимулировать реализацию проектов интегрированного развития сельскохозяйственных производств, оказывать местам поддержку в создании государственных индустриальных парков современного сельского хозяйства, ведущих поселков сельхозпроизводства и кластеров специфических и конкурентоспособных отраслей, поддерживать развитие нового типа коллективного сельского хозяйства, с помощью многомерных методов</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продвигать высококачественное развитие сельских производств. Сосредоточивая внимание на ключевых сферах и субъектах хозяйствования нового типа, необходимо способствовать строительству холодильных хранилищ сельхозпродукции в месте ее производства. Отдавая приоритет важным задачам по ремонту и укреплению малых водохранилищ, упорядочению малых и средних рек, необходимо поддерживать увеличение инвестиций на нужды водного хозяйства и строительство гидротехнической инфраструктуры. Совершенствовать политику премирования и субсидирования социально значимой деятельности на селе, интенсивно проводить пилотно-экспериментальные проекты по комплексной реформе на селе. Укреплять финансовое обеспечение функционирования сельских структур.</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Содействовать согласованному развитию регионов и урбанизации нового типа.</w:t>
      </w:r>
      <w:r>
        <w:rPr>
          <w:rFonts w:ascii="Times New Roman" w:hAnsi="Times New Roman" w:cs="Times New Roman"/>
          <w:sz w:val="24"/>
          <w:szCs w:val="24"/>
          <w:lang w:val="ru-RU"/>
        </w:rPr>
        <w:t xml:space="preserve"> С помощью комплексного использования трансфертных платежей, налоговых мер и других политических установок стимулировать осуществление важнейших стратегий, таких как согласованное развитие региона Пекин–Тяньцзинь–Хэбэй, развитие экономического пояса реки Янцзы, строительство региона «Большой залив» Гуандун–Сянган–Аомэнь, интегрированное развитие дельты реки Янцзы, защита экологии и высококачественное развитие бассейна реки Хуанхэ. Стимулировать строительство экономического кольца в районе Чэнду–Чунцин. Поддерживать преобразование моделей развития городов с иссякшими ресурсами. Для усиления поддержки развития бывших революционных опорных баз, национальных и приграничных районов из центрального бюджета будут выделены соответствующие трансфертные платежи в размере 177 млрд юаней с увеличением на 8%. Планируется продолжать выделять из центрального бюджета премиальные средства для стимулирования работы по переводу мигрирующего сельского населения в состав городского, содействовать совершенствованию системы предоставления населению основных видов общественных услуг по месту постоянного проживания, тем самым продвигать урбанизацию нового типа, в которой центральное место занимает человек. Необходимо создать механизм поощрения и ограничения в области добычи угля, увеличивать трансфертные платежи главным провинциям, из которых перераспределяется уголь.  </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5) Совершенствование политики финансовой и налоговой поддержки зеленого и низкоуглеродного развития, скоординированное продвижение работы по сокращению выбросов углерода, снижению уровня загрязнения, расширению зеленых массивов и обеспечению экономического роста</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Поддерживать ускорение зеленой трансформации модели развития. </w:t>
      </w:r>
      <w:r>
        <w:rPr>
          <w:rFonts w:ascii="Times New Roman" w:hAnsi="Times New Roman" w:cs="Times New Roman"/>
          <w:sz w:val="24"/>
          <w:szCs w:val="24"/>
          <w:lang w:val="ru-RU"/>
        </w:rPr>
        <w:t xml:space="preserve">Необходимо претворять в жизнь Предложения об оказании финансовой поддержки работе по выходу на пик выбросов углерода и достижению углеродной нейтральности, оказывать местным правительствам содействие в улучшении соответствующих установок и мер поддержки. Усиливать разработку ключевых технологий в области зеленого и низкоуглеродного развития, а также их распространение и применение, способствовать переходу к зеленому и низкоуглеродному развитию таких важных отраслей производства и сфер, как промышленность, транспорт и др. Стимулировать зеленое развитие сельского хозяйства, поддерживать комплексное использование соломы, а также научное использование и утилизацию защитной полиэтиленовой пленки. Расширять номенклатуру «зеленой» продукции для государственных закупок и наращивать динамику закупок соответствующих товаров. Поддерживать развитие возобновляемых источников энергии для содействия дальнейшей оптимизации структуры энергоресурсов, ориентировать места на активизацию работы по экономии энергоресурсов и сокращению выбросов углерода, способствовать экологически чистому и высокоэффективному использованию энергоресурсов. Выявлять роль Фонда механизма чистого развития, чтобы увеличить объем ресурсов, направляемых на содействие зеленому и низкоуглеродному развитию. </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Последовательно и интенсивно вести борьбу за синеву неба, изумрудные воды и чистую землю. </w:t>
      </w:r>
      <w:r>
        <w:rPr>
          <w:rFonts w:ascii="Times New Roman" w:hAnsi="Times New Roman" w:cs="Times New Roman"/>
          <w:sz w:val="24"/>
          <w:szCs w:val="24"/>
          <w:lang w:val="ru-RU"/>
        </w:rPr>
        <w:t xml:space="preserve">Планируется выделить из центрального бюджета денежные средства в размере 33 млрд юаней на предотвращение и ликвидацию загрязнения атмосферы, которые будут использованы приоритетно для поддержки внедрения в северном регионе Китая экологически чистой отопительной системы. Необходимо придерживаться комплексного подхода при планировании работы по управлению водными ресурсами, водной средой и водной экосистемой, предполагается выделить из центрального бюджета 25,7 млрд юаней с увеличением на 2 млрд юаней на борьбу с загрязнением воды, которые будут направлены преимущественно на поддержку выполнения таких сложных задач, как защита и восстановление экологии реки Янцзы, охрана и упорядочение экосреды реки Хуанхэ, а также комплексное упорядочение особо выделенных морских акваторий, необходимо в пилотном порядке провести работу по оздоровлению черных зловонных водоемов в сельской местности. Широкомасштабно применяя результаты детального обследования состояния загрязнения почвы, продолжать содействовать выполнению работы по предупреждению и осуществлению контроля над источниками загрязнения почвы с акцентом на упорядочение хвостохранилищ тяжелых металлов, которые были заброшены на протяжении долгих лет. </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Повышать разнообразие, стабильность и устойчивость экосистем. </w:t>
      </w:r>
      <w:r>
        <w:rPr>
          <w:rFonts w:ascii="Times New Roman" w:hAnsi="Times New Roman" w:cs="Times New Roman"/>
          <w:sz w:val="24"/>
          <w:szCs w:val="24"/>
          <w:lang w:val="ru-RU"/>
        </w:rPr>
        <w:t>Предстоит ввести систему компенсации экологического ущерба, из центрального бюджета планируются трансфертные платежи на нужды развития зон с важными экологическими функциями в размере 109,1 млрд юаней с увеличением на 9,9 млрд юаней, которые будут направлены на оказание содействия местным правительствам в усилении мер по охране экологической среды. Из центрального бюджета планируется выделить 17,2 млрд юаней на реализацию важнейших проектов по защите, восстановлению и упорядочению экосреды, которые будут направлены на стимулирование ускоренной реализации объектов по интегрированной защите и восстановлению экологического состояния горных районов, речной и озерной среды, лесных территорий, пахотных земель, степных покровов и песчаных почв, образцово-показательных проектов по восстановлению экологической среды в районе рудников, которые были заброшены на протяжении долгих лет. В соответствии с требованиями о территориальном размещении национальных парков и стандартами их учреждения поддерживать ускоренное строительство национальных парков с тем, чтобы формировать сеть охраны биоразнообразия. Продолжать поддерживать мероприятия по озеленению территории страны, работу по охране и восстановлению экосистем лесных и степных массивов, водно-болотных угодий и морских акваторий. Проработать вопрос, связанный с механизмом реализации ценностей экологической продукции.</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 xml:space="preserve">6) Усиление работы по предоставлению основных видов общественных услуг, надежное обеспечение народного благосостояния </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Тщательно и основательно претворять в жизнь политику приоритетного обеспечения занятости.</w:t>
      </w:r>
      <w:r>
        <w:rPr>
          <w:rFonts w:ascii="Times New Roman" w:hAnsi="Times New Roman" w:cs="Times New Roman"/>
          <w:sz w:val="24"/>
          <w:szCs w:val="24"/>
          <w:lang w:val="ru-RU"/>
        </w:rPr>
        <w:t xml:space="preserve"> Планируется выделить из центрального бюджета 66,8 млрд юаней с увеличением на 5 млрд юаней в качестве субсидий на трудоустройство для оказания помощи местным правительствам в реализации политических мер поддержки трудоустройства и предпринимательства. Необходимо совершенствовать политические меры, направленные на снижение нагрузки, стабилизацию и расширение занятости, отводить более заметное место работе по содействию трудоустройству молодых людей, особенно выпускников вузов, содействовать трудоустройству и предпринимательской деятельности сельских трудовых мигрантов, избавившегося от бедности населения, демобилизованных военнослужащих и других особо выделенных категорий населения. Усиливать защиту прав и интересов трудящихся, вовлеченных в гибкие и новые формы занятости. Продолжать поддерживать проведение широкомасштабного профессионально-квалификационного обучения, ускорять подготовку большого количества высококвалифицированных специалистов, чтобы смягчить структурные противоречия в сфере занятости.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Содействовать формированию высококачественной образовательной системы. </w:t>
      </w:r>
      <w:r>
        <w:rPr>
          <w:rFonts w:ascii="Times New Roman" w:hAnsi="Times New Roman" w:cs="Times New Roman"/>
          <w:sz w:val="24"/>
          <w:szCs w:val="24"/>
          <w:lang w:val="ru-RU"/>
        </w:rPr>
        <w:t xml:space="preserve">Уделяя равное внимание как увеличению объема инвестиций, так и улучшению структуры расходов, поддерживать развитие образования, удовлетворяющего требования народа. Предполагается увеличить ассигнования на обязательное образование, ускоренно восполнять недостатки и укреплять слабые звенья, чтобы стимулировать высококачественное и сбалансированное развитие обязательного образования, а также его интегрированное развитие в городских и сельских районах. Важно усиливать подготовку педагогического состава в сельской местности. Планируется выделить 25 млрд юаней с увеличением на 2 млрд юаней на поддержку развития дошкольного образования, чтобы расширить предложение общедоступных ресурсов дошкольного образования. На нужды улучшения инфраструктуры общеобразовательных школ высшей ступени планируется выделить пособия в размере 10 млрд юаней с увеличением на 3 млрд юаней, которые будут направлены на поддержку улучшения основных условий обучения таких школ в уездах. Способствовать достижению профессиональными учебными заведениями стандартов в сфере инфраструктуры, поддерживать проработку вопроса о внедрении пилотного проекта по формированию системы выделения ассигнований на нужды учащихся профессиональных учебных заведений по среднедушевым нормам на основе дифференцированного подхода и в соответствии с их профилем. Оказывать поддержку в ускорении создания имеющих китайскую специфику вузов мирового класса и конкурентоспособных научных дисциплин, повышать возможности высших учебных заведений в обслуживании государственных стратегических потребностей. Планируется выделить 40,4 млрд юаней с увеличением на 1 млрд юаней на поддержку реформирования и развития местных вузов, эти средства будут направлены преимущественно на создание первоклассных вузов мирового уровня и развитие передовых академических дисциплин в вузах центрального и западного регионов. Предполагается выделить дотации для учащихся в размере 72 млрд юаней с увеличением на 3,2 млрд юаней, чтобы облегчить бремя нуждающихся семей, связанное с образованием. </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b/>
          <w:sz w:val="24"/>
          <w:szCs w:val="24"/>
          <w:lang w:val="ru-RU"/>
        </w:rPr>
        <w:t>Содействовать повышению возможностей по предоставлению лечебно-санитарных услуг.</w:t>
      </w:r>
      <w:r>
        <w:rPr>
          <w:rFonts w:ascii="Times New Roman" w:hAnsi="Times New Roman" w:cs="Times New Roman"/>
          <w:sz w:val="24"/>
          <w:szCs w:val="24"/>
          <w:lang w:val="ru-RU"/>
        </w:rPr>
        <w:t xml:space="preserve"> Посредством обычных трансфертов планируется выделить финансовые субсидии общей суммой 170 млрд юаней и использовать переходящие средства из бюджета 2022 года в размере 30 млрд юаней, возникшие в результате учета на основе полного начисления, для оказания поддержки местам в налаживании противоэпидемической работы и т.д., при этом направлять больше средств в уездные финансовые органы. Предстоит обеспечивать временные доплаты медицинскому персоналу и бюджетные ассигнования на вакцинацию населения, целесообразно продлить действие политики финансового обеспечения оказания медицинской помощи пациентам, зараженным новой коронавирусной инфекцией. Выделить финансовые средства на субсидирование их личных расходов на стационарное лечение, отвечающее требованиям Инструкции по проведению диагностики коронавирусной инфекции, после возмещения в установленном порядке их затрат на медицинское обслуживание из базового медицинского страхования, страхования на случай серьезных заболеваний и механизма оказания медицинской помощи. Для поддержки борьбы с новой коронавирусной инфекцией необходимо обеспечивать планомерную и постепенную реализацию мер, направленных против инфекционных заболеваний категории «Б». Поддерживать последовательное сохранение и инновационное развитие традиционной китайской медицины и фармацевтики. Среднедушевая годовая норма финансовых субсидий на базовое медицинское страхование для сельского и неработающего городского населения вырастет на 30 юаней и достигнет 640 юаней, наряду с этим повысятся годовые размеры личных страховых взносов. Среднедушевая годовая норма бюджетных дотаций на основные виды общественных услуг в области здравоохранения увеличится на 5 юаней и достигнет 89 юаней. При этом финансовая поддержка будет в приоритетном порядке оказана местам во всемерном предоставлении основных видов общественных услуг в области здравоохранения пожилым людям и детям. Предстоит интенсивно наращивать потенциал государственных медучреждений уездного уровня по предоставлению медицинских услуг, стимулировать повышение возможностей по предоставлению медицинских услуг в сообществах медобслуживания на уездном уровне и в сельской местности. Поддерживать налаживание работы по профилактике заболеваний. Уверенно и планомерно углублять реформу порядка выплаты из фонда медицинского страхования, содействовать единому планированию фондов базового медицинского страхования на провинциальном уровне.</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b/>
          <w:sz w:val="24"/>
          <w:szCs w:val="24"/>
          <w:lang w:val="ru-RU"/>
        </w:rPr>
        <w:t xml:space="preserve">Оздоровлять систему социального обеспечения. </w:t>
      </w:r>
      <w:r>
        <w:rPr>
          <w:rFonts w:ascii="Times New Roman" w:hAnsi="Times New Roman" w:cs="Times New Roman"/>
          <w:sz w:val="24"/>
          <w:szCs w:val="24"/>
          <w:lang w:val="ru-RU"/>
        </w:rPr>
        <w:t>Интенсивно внедрять по всей стране практику единого планирования фондов базового страхования по старости для рабочих и служащих предприятий, в разумной степени повышать норму базовых пенсий по старости для пенсионеров, обеспечивать надлежащее исполнение расходных обязательств Центром и местами, чтобы гарантировать своевременную и полную выплату базовых пенсий. Активно стимулировать развитие индивидуальных пенсий по старости, продвигать создание многоуровневой системы пенсионного страхования с различными источниками финансирования, совершенствовать меры по поддержке деторождения, а также финансовые политические установки и меры по реагированию на старение населения. Поддерживать оздоровление системы базовых услуг по обеспечению достойной старости, форсировать совершенствование системы услуг по уходу за пожилыми людьми, координирующей усилия семей, микрорайонов и домов престарелых и сочетающей медицинские услуги и санаторно-оздоровительные услуги. Планируется выделить пособия в размере 156,7 млрд юаней на оказание помощи малоимущим категориям населения, чтобы надежно обеспечить их базовые жизненные потребности. Совершенствовать систему сохранения и увеличения активов фондов социального обеспечения, а также систему контроля за их безопасностью, углублять реформу систем и механизмов в этих сферах, увеличивать фонды стратегических резервов и расширять их возможности.</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b/>
          <w:sz w:val="24"/>
          <w:szCs w:val="24"/>
          <w:lang w:val="ru-RU"/>
        </w:rPr>
        <w:t>Совершенствовать систему жилищного обеспечения.</w:t>
      </w:r>
      <w:r>
        <w:rPr>
          <w:rFonts w:ascii="Times New Roman" w:hAnsi="Times New Roman" w:cs="Times New Roman"/>
          <w:sz w:val="24"/>
          <w:szCs w:val="24"/>
          <w:lang w:val="ru-RU"/>
        </w:rPr>
        <w:t xml:space="preserve"> Твердо придерживаясь позиции «жилье предназначено для проживания, а не для спекуляции», необходимо поддерживать улучшение системы жилищного обеспечения, основу которой составляют социальное арендное жилье, гарантированное арендное жилье и жилье с общей долевой собственностью, эффективно расширять предложение гарантированного арендного жилья, изыскивать способы для развития рынка долгосрочного арендного жилья, чтобы как можно скорее разрешить жилищный вопрос новых горожан, молодежи и др. Реализовать долгосрочный механизм стимулирования стабильного и здорового развития рынка недвижимости, основательно продвигать работу по обеспечению своевременной сдачи жилых домов в эксплуатацию, базовых потребностей народа и социальной стабильности, поддерживать работу по удовлетворению жесткого спроса населения на жилье и его потребностей в улучшении жилищных условий, таким образом способствуя устойчивому развитию рынка недвижимости.</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b/>
          <w:sz w:val="24"/>
          <w:szCs w:val="24"/>
          <w:lang w:val="ru-RU"/>
        </w:rPr>
        <w:t>Содействовать развитию сферы культуры и культурной индустрии.</w:t>
      </w:r>
      <w:r>
        <w:rPr>
          <w:rFonts w:ascii="Times New Roman" w:hAnsi="Times New Roman" w:cs="Times New Roman"/>
          <w:sz w:val="24"/>
          <w:szCs w:val="24"/>
          <w:lang w:val="ru-RU"/>
        </w:rPr>
        <w:t xml:space="preserve"> Важно поддерживать улучшение современной системы социально-культурного сервиса, на основе инновационного подхода реализовывать программу развития культуры на благо народа, повышать уровень обеспечения бесплатного посещения культурных объектов общественного назначения. Осуществлять государственную стратегию цифровизации в сфере культуры, поощрять людей к созданию еще большего количества лучших культурных произведений. Усиливать поддержку работы по охране, использованию и распространению памятников культуры и древних книг, а также нематериального культурного наследия и др., интенсифицировать строительство государственных парков культуры, стимулировать углубленную интеграцию сферы культуры и туризма. Энергично наращивать потенциал в сфере международной коммуникации, увеличивать возможности в распространении достижений китайской цивилизации и расширять ее влияние. Поддерживать широкое развертывание всенародных мероприятий по укреплению здоровья, ускорять превращение Китая в спортивную державу.</w:t>
      </w:r>
    </w:p>
    <w:p>
      <w:pPr>
        <w:pStyle w:val="16"/>
        <w:adjustRightInd w:val="0"/>
        <w:snapToGrid w:val="0"/>
        <w:spacing w:line="300" w:lineRule="auto"/>
        <w:ind w:firstLineChars="0"/>
        <w:rPr>
          <w:rFonts w:ascii="Times New Roman" w:hAnsi="Times New Roman" w:cs="Times New Roman"/>
          <w:b/>
          <w:sz w:val="24"/>
          <w:szCs w:val="24"/>
          <w:lang w:val="ru-RU"/>
        </w:rPr>
      </w:pPr>
      <w:r>
        <w:rPr>
          <w:rFonts w:ascii="Times New Roman" w:hAnsi="Times New Roman" w:cs="Times New Roman"/>
          <w:b/>
          <w:sz w:val="24"/>
          <w:szCs w:val="24"/>
          <w:lang w:val="ru-RU"/>
        </w:rPr>
        <w:t>7) Комплексное планирование работы в сфере развития и безопасности, оказание поддержки работе в оборонной, дипломатической, политико-правовой и других сферах</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Необходимо претворять в жизнь идеи партии об укреплении армии в новую эпоху, содействовать модернизации национальной обороны и вооруженных сил, наращивать потенциал в сфере оборонной науки, техники и промышленности, продвигать углубленное развитие военно-гражданской интеграции, поддерживать создание еще более прочной национальной обороны и более мощной народной армии. Качественно выполнять работу по предоставлению услуг и гарантий демобилизованным военнослужащим, совершенствовать механизм динамичного регулирования норм пособий и субсидий на обеспечение бытовых нужд для военных и других льготников. Всесторонне развивать дипломатию мировой державы с китайской спецификой, углублять международные обмены и сотрудничество в финансово-экономической сфере, активно участвовать в глобальном экономическом управлении, поддерживать высококачественное совместное строительство «Одного пояса и одного пути», на высоком уровне расширять открытость внешнему миру. Оказывать поддержку углублению комплексных и скоординированных реформ судебной системы, продолжать содействовать регулярному проведению мероприятий по ликвидации криминальных структур, усиливать комплексные меры профилактики и контроля в сфере общественного порядка, активизировать работу по оказанию социально-правовых услуг и юридической помощи, стимулировать построение «спокойного Китая» в соответствии с более высокими стандартами.</w:t>
      </w:r>
    </w:p>
    <w:p>
      <w:pPr>
        <w:pStyle w:val="16"/>
        <w:adjustRightInd w:val="0"/>
        <w:snapToGrid w:val="0"/>
        <w:spacing w:line="300" w:lineRule="auto"/>
        <w:ind w:firstLineChars="0"/>
        <w:rPr>
          <w:rFonts w:ascii="Times New Roman" w:hAnsi="Times New Roman" w:cs="Times New Roman"/>
          <w:b/>
          <w:sz w:val="24"/>
          <w:szCs w:val="24"/>
          <w:lang w:val="ru-RU"/>
        </w:rPr>
      </w:pPr>
      <w:r>
        <w:rPr>
          <w:rFonts w:ascii="Times New Roman" w:hAnsi="Times New Roman" w:cs="Times New Roman"/>
          <w:b/>
          <w:sz w:val="24"/>
          <w:szCs w:val="24"/>
          <w:lang w:val="ru-RU"/>
        </w:rPr>
        <w:t>4. Прогнозируемые доходы и планируемые расходы обычного общественного бюджета на 2023 год</w:t>
      </w:r>
    </w:p>
    <w:p>
      <w:pPr>
        <w:pStyle w:val="16"/>
        <w:adjustRightInd w:val="0"/>
        <w:snapToGrid w:val="0"/>
        <w:spacing w:line="300" w:lineRule="auto"/>
        <w:ind w:firstLineChars="0"/>
        <w:rPr>
          <w:rFonts w:ascii="Times New Roman" w:hAnsi="Times New Roman" w:cs="Times New Roman"/>
          <w:b/>
          <w:sz w:val="24"/>
          <w:szCs w:val="24"/>
          <w:lang w:val="ru-RU"/>
        </w:rPr>
      </w:pPr>
      <w:r>
        <w:rPr>
          <w:rFonts w:ascii="Times New Roman" w:hAnsi="Times New Roman" w:cs="Times New Roman"/>
          <w:b/>
          <w:sz w:val="24"/>
          <w:szCs w:val="24"/>
          <w:lang w:val="ru-RU"/>
        </w:rPr>
        <w:t>1) Центральный обычный общественный бюджет</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Доходы центрального обычного общественного бюджета планируются в размере 10016,5 млрд юаней, что на 5,6% больше фактического показателя 2022 года. С учетом 150 млрд юаней, перечисленных из фонда стабилизации и регулирования центрального бюджета, и 575 млрд юаней из бюджета центральных правительственных фондов и бюджета хозяйствования центральным госкапиталом, общий объем бюджетных доходов достигнет 10741,5 млрд юаней. Расходы центрального обычного общественного бюджета составят 13901,5 млрд юаней с увеличением на 4,7%. Сопоставление доходов и расходов данного центрального бюджета показывает дефицит в размере 3160 млрд юаней, что на 510 млрд юаней больше показателя 2022 года и будет покрываться за счет выпуска госзаймов.</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 xml:space="preserve">В 2023 году расходные обязательства центрального обычного общественного бюджета включают в себя собственные расходы центрального бюджета, трансфертные платежи местам и резервные средства центрального бюджета.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 1 \* GB3 </w:instrText>
      </w:r>
      <w:r>
        <w:rPr>
          <w:rFonts w:ascii="Times New Roman" w:hAnsi="Times New Roman" w:cs="Times New Roman"/>
          <w:sz w:val="24"/>
          <w:szCs w:val="24"/>
          <w:lang w:val="ru-RU"/>
        </w:rPr>
        <w:fldChar w:fldCharType="separate"/>
      </w:r>
      <w:r>
        <w:rPr>
          <w:rFonts w:hint="eastAsia" w:ascii="宋体" w:hAnsi="宋体" w:eastAsia="宋体" w:cs="宋体"/>
          <w:sz w:val="24"/>
          <w:szCs w:val="24"/>
          <w:lang w:val="ru-RU"/>
        </w:rPr>
        <w:t>①</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Собственные расходы центрального бюджета составят 3789 млрд юаней и вырастут на 6,5%. В контексте соблюдения строгого режима экономии, за вычетом расходов на создание центральных резервов материальных ресурсов, на выпуск госзаймов и погашение процентов по ним, а также на национальную оборону и вооруженную милицию, расходы центральных ведомств планируется увеличить на 0,8%, эти средства будут приоритетно направлены в сферу образования, науки и техники и др. Конкретные показатели собственных расходов центрального обычного общественного бюджета по основным статьям: расходы на обычные общественные услуги составят 156,799 млрд юаней с уменьшением на 0,7%; расходы на внешнеполитическую деятельность – 54,836 млрд юаней с приростом 12,2%; расходы на национальную оборону – 1553,7 млрд юаней с увеличением на 7,2%; расходы на обеспечение общественной безопасности – 208,972 млрд юаней с приростом 6,4%; расходы на образование – 155,479 млрд юаней с увеличением на 2%; расходы на науку и технику – 328,034 млрд юаней с увеличением на 2%; расходы на создание резервов зерновых, масла и других материальных ресурсов – 132,878 млрд юаней с приростом 13,6%; расходы на выплату процентов по долговым обязательствам – 723 млрд юаней, увеличившись на 10,8%.</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 2 \* GB3 </w:instrText>
      </w:r>
      <w:r>
        <w:rPr>
          <w:rFonts w:ascii="Times New Roman" w:hAnsi="Times New Roman" w:cs="Times New Roman"/>
          <w:sz w:val="24"/>
          <w:szCs w:val="24"/>
          <w:lang w:val="ru-RU"/>
        </w:rPr>
        <w:fldChar w:fldCharType="separate"/>
      </w:r>
      <w:r>
        <w:rPr>
          <w:rFonts w:hint="eastAsia" w:ascii="宋体" w:hAnsi="宋体" w:eastAsia="宋体" w:cs="宋体"/>
          <w:sz w:val="24"/>
          <w:szCs w:val="24"/>
          <w:lang w:val="ru-RU"/>
        </w:rPr>
        <w:t>②</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Трансфертные платежи местным бюджетам ожидаются в размере 10062,5 млрд юаней с приростом 3,6%. А увеличение составит 7,9% за вычетом единовременных целевых трансфертных платежей, в том числе выплат на оказание поддержки низовым структурам в реализации мер по снижению налогов и сборов, а также на приоритетные проекты по обеспечению благосостояния народа.</w:t>
      </w:r>
    </w:p>
    <w:p>
      <w:pPr>
        <w:adjustRightInd w:val="0"/>
        <w:snapToGrid w:val="0"/>
        <w:spacing w:line="300" w:lineRule="auto"/>
        <w:ind w:firstLine="417"/>
        <w:rPr>
          <w:rFonts w:ascii="Times New Roman" w:hAnsi="Times New Roman" w:cs="Times New Roman"/>
          <w:sz w:val="24"/>
          <w:szCs w:val="24"/>
          <w:lang w:val="ru-RU"/>
        </w:rPr>
      </w:pP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 3 \* GB3 </w:instrText>
      </w:r>
      <w:r>
        <w:rPr>
          <w:rFonts w:ascii="Times New Roman" w:hAnsi="Times New Roman" w:cs="Times New Roman"/>
          <w:sz w:val="24"/>
          <w:szCs w:val="24"/>
          <w:lang w:val="ru-RU"/>
        </w:rPr>
        <w:fldChar w:fldCharType="separate"/>
      </w:r>
      <w:r>
        <w:rPr>
          <w:rFonts w:hint="eastAsia" w:ascii="宋体" w:hAnsi="宋体" w:eastAsia="宋体" w:cs="宋体"/>
          <w:sz w:val="24"/>
          <w:szCs w:val="24"/>
          <w:lang w:val="ru-RU"/>
        </w:rPr>
        <w:t>③</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Резервные средства центрального бюджета составят 50 млрд юаней, что сохранится на уровне 2022 года. При исполнении бюджета эти средства в соответствии с их реальным назначением будут зачислены в статьи собственных расходов центрального бюджета и трансфертных платежей местным бюджетам.</w:t>
      </w:r>
    </w:p>
    <w:p>
      <w:pPr>
        <w:adjustRightInd w:val="0"/>
        <w:snapToGrid w:val="0"/>
        <w:spacing w:line="300" w:lineRule="auto"/>
        <w:ind w:firstLine="417"/>
        <w:rPr>
          <w:rFonts w:ascii="Times New Roman" w:hAnsi="Times New Roman" w:cs="Times New Roman"/>
          <w:b/>
          <w:sz w:val="24"/>
          <w:szCs w:val="24"/>
          <w:lang w:val="ru-RU"/>
        </w:rPr>
      </w:pPr>
      <w:r>
        <w:rPr>
          <w:rFonts w:ascii="Times New Roman" w:hAnsi="Times New Roman" w:cs="Times New Roman"/>
          <w:b/>
          <w:sz w:val="24"/>
          <w:szCs w:val="24"/>
          <w:lang w:val="ru-RU"/>
        </w:rPr>
        <w:t>2) Местные обычные общественные бюджеты</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Собственные доходы местных обычных общественных бюджетов составят 11713,5 млрд юаней с приростом 7,6%. С учетом трансфертных платежей из центрального бюджета в местные в размере 10062,5 млрд юаней, перечисленных в местные бюджеты средств, переходящих остатков и неиспользованных средств в размере 1178 млрд юаней, общий объем доходов достигнет 22954 млрд юаней. Расходы местных обычных общественных бюджетов планируются в размере 23674 млрд юаней с увеличением на 5,2%. Дефицит данных местных бюджетов составит 720 млрд юаней, что равняется показателю 2022 года, его покрытие будет обеспечиваться за счет выпуска обычных облигаций местных правительств.</w:t>
      </w:r>
    </w:p>
    <w:p>
      <w:pPr>
        <w:pStyle w:val="16"/>
        <w:adjustRightInd w:val="0"/>
        <w:snapToGrid w:val="0"/>
        <w:spacing w:line="300" w:lineRule="auto"/>
        <w:ind w:firstLineChars="0"/>
        <w:rPr>
          <w:rFonts w:ascii="Times New Roman" w:hAnsi="Times New Roman" w:cs="Times New Roman"/>
          <w:b/>
          <w:sz w:val="24"/>
          <w:szCs w:val="24"/>
          <w:lang w:val="ru-RU"/>
        </w:rPr>
      </w:pPr>
      <w:r>
        <w:rPr>
          <w:rFonts w:ascii="Times New Roman" w:hAnsi="Times New Roman" w:cs="Times New Roman"/>
          <w:b/>
          <w:sz w:val="24"/>
          <w:szCs w:val="24"/>
          <w:lang w:val="ru-RU"/>
        </w:rPr>
        <w:t>3) Обычный общественный бюджет по всей стране</w:t>
      </w:r>
    </w:p>
    <w:p>
      <w:pPr>
        <w:pStyle w:val="16"/>
        <w:adjustRightInd w:val="0"/>
        <w:snapToGrid w:val="0"/>
        <w:spacing w:line="300" w:lineRule="auto"/>
        <w:ind w:firstLineChars="0"/>
        <w:rPr>
          <w:rFonts w:ascii="Times New Roman" w:hAnsi="Times New Roman" w:cs="Times New Roman"/>
          <w:sz w:val="24"/>
          <w:szCs w:val="24"/>
          <w:lang w:val="ru-RU"/>
        </w:rPr>
      </w:pPr>
      <w:r>
        <w:rPr>
          <w:rFonts w:ascii="Times New Roman" w:hAnsi="Times New Roman" w:cs="Times New Roman"/>
          <w:sz w:val="24"/>
          <w:szCs w:val="24"/>
          <w:lang w:val="ru-RU"/>
        </w:rPr>
        <w:t>По результатам суммирования центрального и местных бюджетов доходы обычного общественного бюджета по всей стране достигнут 21730 млрд юаней с увеличением на 6,7%. С учетом перечисленных средств, переходящих остатков и неиспользованных средств в размере 1903 млрд юаней, общий объем доходов достигнет 23633 млрд юаней. Расходы обычного общественного бюджета по всей стране планируются в размере 27513 млрд юаней (включая резервные средства центрального бюджета в размере 50 млрд юаней), увеличение составит 5,6%. Дефицит планируется в размере 3880 млрд юаней, увеличившись на 510 млрд юаней по сравнению с 2022 годом.</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5. Прогнозируемые доходы и планируемые расходы бюджета правительственных фондов на 2023 год</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Доходы бюджета центральных правительственных фондов планируются в размере 414,89 млрд юаней с увеличением на 0,6%. С учетом переходящих остатков бюджета предыдущего года в размере 739,309 млрд юаней общая сумма доходов данного бюджета достигнет 1154,199 млрд юаней. Расходы бюджета центральных правительственных фондов составят 594,199 млрд юаней, в том числе собственные расходы бюджета – 504,539 млрд юаней, трансфертные платежи на места – 89,66 млрд юаней. Объем перечисленных средств в центральный обычный общественный бюджет составит 500 млрд юаней. А также планируется перечислить 60 млрд юаней в бюджет следующего года.</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Собственные поступления в бюджеты местных правительственных фондов достигнут 7402,1 млрд юаней с приростом 0,4%. С учетом трансфертов из бюджета центральных правительственных фондов на места в размере 89,66 млрд юаней и доходов от целевых долговых обязательств местных правительств в объеме 3800 млрд юаней, общие поступления в данные бюджеты достигнут 11291,76 млрд юаней. Общие выплаты из бюджетов местных правительственных фондов составят 11291,76 млрд юаней и возрастут на 7,5%.</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 результатам суммирования центрального и местных бюджетов общие доходы бюджета правительственных фондов по всей стране составят 7816,99 млрд юаней, а увеличение составит 0,4%. С учетом переходящих остатков бюджета предыдущего года в размере 739,309 млрд юаней и доходов от целевых долговых обязательств местных правительств в размере 3800 млрд юаней, общая сумма поступлений в бюджет правительственных фондов по всей стране достигнет 12356,299 млрд юаней. Выплаты из данного бюджета составят 11796,299 млрд юаней, увеличившись на 6,7%. Сумма перечисленных в обычный общественный бюджет средств составит 500 млрд юаней, а сумма перечисленных средств в бюджет следующего года – 60 млрд юаней.</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6. Прогнозируемые доходы и планируемые расходы бюджета хозяйствования госкапиталом на 2023 год</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Поступления в бюджет хозяйствования центральным госкапиталом ожидаются в размере 241,04 млрд юаней с увеличением на 2,9%. С учетом переходящих остатков бюджета предыдущего года в размере 8,892 млрд юаней общий объем доходов данного бюджета достигнет 249,932 млрд юаней. Выплаты из бюджета хозяйствования центральным госкапиталом планируются в размере 174,932 млрд юаней, что на 2,3% больше показателя прошлого года. В том числе собственные расходы бюджета составят 170,477 млрд юаней, трансфертные платежи в местные бюджеты – 4,455 млрд юаней. Сумма перечисленных в центральный обычный общественный бюджет средств планируется в размере 75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Собственные поступления в бюджеты хозяйствования местным госкапиталом составят 294,8 млрд юаней со снижением на 11,9%, что главным образом обусловлено сокращением чистой прибыли местных госпредприятий в 2022 году. С учетом трансфертных платежей из бюджета хозяйствования центральным госкапиталом на места в размере 4,455 млрд юаней и переходящих остатков бюджетов предыдущего года в размере 18,649 млрд юаней, общий объем доходов бюджетов хозяйствования местным госкапиталом достигнет 317,904 млрд юаней. Выплаты из данных бюджетов планируются в размере 176,404 млрд юаней, прирост составит 1,7%. Сумма перечисленных в местные обычные общественные бюджеты средств составит 141,5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 итогам суммирования центрального и местных бюджетов общие поступления в бюджет хозяйствования госкапиталом по всей стране составят 535,84 млрд юаней, снизившись на 5,8%. C учетом переходящих остатков данного бюджета предыдущего года в размере 27,541 млрд юаней общий объем доходов достигнет 563,381 млрд юаней. Общие выплаты из бюджета хозяйствования госкапиталом по всей стране составят 346,881 млрд юаней с увеличением на 2,2%. Сумма перечисленных в обычные общественные бюджеты средств составит 216,5 млрд юаней.</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7. Прогнозируемые доходы и планируемые расходы бюджета фондов социального страхования на 2023 год</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Поступления в бюджет центральных фондов социального страхования ожидаются в объеме 50,782 млрд юаней с приростом 35%, а выплаты из данного бюджета планируются в размере 51,125 млрд юаней, увеличившись на 40,6%. Сравнительно значительный рост этих доходов и расходов объясняется главным образом тем, что счета соцстрахования в части центральных ведомств и учреждений будут перенесены с местного уровня на центральный и т.д. С учетом фактора регулирования на основе единого планирования по всей стране средств пассивное сальдо бюджетного баланса на текущий год составит 428 млн юаней, которое будет покрыто за счет накопленных остатков бюджета предыдущего года. Накопленные остатки к концу 2023 года составят 12,384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Поступления в бюджеты местных фондов социального страхования ожидаются в размере 10884,881 млрд юаней с увеличением на 7,6%; а выплаты из этих бюджетов достигнут 9749,719 млрд юаней и увеличатся на 7%. С учетом фактора регулирования на основе единого планирования по всей стране средств</w:t>
      </w:r>
      <w:r>
        <w:rPr>
          <w:rFonts w:ascii="Times New Roman" w:hAnsi="Times New Roman" w:eastAsia="楷体" w:cs="Times New Roman"/>
          <w:kern w:val="0"/>
          <w:sz w:val="24"/>
          <w:szCs w:val="24"/>
          <w:lang w:val="ru-RU"/>
        </w:rPr>
        <w:t xml:space="preserve"> активное сальдо бюджетного баланса на текущий год составит 1135,247 млрд юаней, </w:t>
      </w:r>
      <w:r>
        <w:rPr>
          <w:rFonts w:ascii="Times New Roman" w:hAnsi="Times New Roman" w:cs="Times New Roman"/>
          <w:sz w:val="24"/>
          <w:szCs w:val="24"/>
          <w:lang w:val="ru-RU"/>
        </w:rPr>
        <w:t>а накопленные остатки к концу нынешнего года составят 12601,381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 итогам суммирования центрального и местных бюджетов общие поступления в бюджет фондов социального страхования по всей стране достигнут 10935,663 млрд юаней с приростом 7,7%, включая доходы от страховых взносов в размере 7997,428 млрд юаней, доходы от финансовых дотаций в размере 2494,982 млрд юаней. Выплаты из бюджета фондов социального страхования по всей стране планируются в размере 9800,844 млрд юаней с увеличением на 7,2%. Активное сальдо бюджетного баланса на текущий год составит 1134,819 млрд юаней, а накопленные остатки к концу года составят 12613,765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В 2023 году лимит госдолга центрального бюджета составит 29860,835 млрд юаней; лимит обычных долгов местных правительств – 16548,922 млрд юаней, а лимит их целевых долгов – 25618,508 млрд юаней.</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Следует отметить, что местные бюджеты составляются местными народными правительствами различных уровней и представляются на утверждение СНП соответствующих инстанций, работа по суммированию материалов пока еще не закончена. Все данные в докладе о прогнозируемых доходах и планируемых расходах местных бюджетов предварительно намечены центральным финансовым ведомством.</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Согласно Закону о бюджете в период с начала нового бюджетного года до дня утверждения ВСНП настоящего бюджета могут быть предусмотрены такие расходы, как выплаты за счет переходящих средств из бюджета предыдущего года; необходимые ведомственные основные расходы и расходы по конкретным статьям на текущий год, а также трансфертные платежи правительствам нижестоящих инстанций, планируемые по размеру бюджетных расходов аналогичного периода предыдущего года; выплаты на исполнение необходимых расходных обязательств, установленных законом, а также выплаты на ликвидацию последствий стихийных бедствий и других ЧП. В соответствии с вышеизложенными правилами выплаты из центрального обычного общественного бюджета в январе 2023 года составили 1790,4 млрд юаней. В том числе собственные выплаты из центрального бюджета составили 199,5 млрд юаней, трансфертные платежи на места – 1590,9 млрд юаней.</w:t>
      </w:r>
    </w:p>
    <w:p>
      <w:pPr>
        <w:snapToGrid w:val="0"/>
        <w:spacing w:line="300" w:lineRule="auto"/>
        <w:ind w:firstLine="420"/>
        <w:rPr>
          <w:rFonts w:ascii="Times New Roman" w:hAnsi="Times New Roman" w:cs="Times New Roman"/>
          <w:sz w:val="24"/>
          <w:szCs w:val="24"/>
          <w:lang w:val="ru-RU"/>
        </w:rPr>
      </w:pPr>
    </w:p>
    <w:p>
      <w:pPr>
        <w:snapToGrid w:val="0"/>
        <w:spacing w:line="300" w:lineRule="auto"/>
        <w:ind w:firstLine="420"/>
        <w:rPr>
          <w:rFonts w:ascii="Times New Roman" w:hAnsi="Times New Roman" w:cs="Times New Roman"/>
          <w:sz w:val="24"/>
          <w:szCs w:val="24"/>
          <w:lang w:val="ru-RU"/>
        </w:rPr>
      </w:pPr>
    </w:p>
    <w:p>
      <w:pPr>
        <w:adjustRightInd w:val="0"/>
        <w:snapToGrid w:val="0"/>
        <w:spacing w:line="300" w:lineRule="auto"/>
        <w:jc w:val="center"/>
        <w:rPr>
          <w:rFonts w:ascii="Times New Roman" w:hAnsi="Times New Roman" w:cs="Times New Roman"/>
          <w:b/>
          <w:caps/>
          <w:sz w:val="24"/>
          <w:szCs w:val="24"/>
          <w:lang w:val="ru-RU"/>
        </w:rPr>
      </w:pPr>
      <w:r>
        <w:rPr>
          <w:rFonts w:ascii="Times New Roman" w:hAnsi="Times New Roman" w:cs="Times New Roman"/>
          <w:b/>
          <w:sz w:val="24"/>
          <w:szCs w:val="24"/>
          <w:lang w:val="ru-RU"/>
        </w:rPr>
        <w:t xml:space="preserve">III. </w:t>
      </w:r>
      <w:r>
        <w:rPr>
          <w:rFonts w:ascii="Times New Roman" w:hAnsi="Times New Roman" w:cs="Times New Roman"/>
          <w:b/>
          <w:caps/>
          <w:sz w:val="24"/>
          <w:szCs w:val="24"/>
          <w:lang w:val="ru-RU"/>
        </w:rPr>
        <w:t xml:space="preserve">Основательно выполнять работу по реформЕ и развитию </w:t>
      </w:r>
    </w:p>
    <w:p>
      <w:pPr>
        <w:adjustRightInd w:val="0"/>
        <w:snapToGrid w:val="0"/>
        <w:spacing w:line="300" w:lineRule="auto"/>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в финансовой сфере в 2023 году</w:t>
      </w:r>
    </w:p>
    <w:p>
      <w:pPr>
        <w:adjustRightInd w:val="0"/>
        <w:snapToGrid w:val="0"/>
        <w:spacing w:line="300" w:lineRule="auto"/>
        <w:jc w:val="center"/>
        <w:rPr>
          <w:rFonts w:ascii="Times New Roman" w:hAnsi="Times New Roman" w:cs="Times New Roman"/>
          <w:b/>
          <w:caps/>
          <w:sz w:val="24"/>
          <w:szCs w:val="24"/>
          <w:lang w:val="ru-RU"/>
        </w:rPr>
      </w:pP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1. Строго претворять в жизнь Закон о бюджете и положения о его применении.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Важно строго исполнять утвержденные СНП бюджеты, недопустимо выделять не предусмотренные бюджетами средства, ужесточать бюджетное регулирование и управление. Необходимо ускорять выделение бюджетных средств нижестоящим инстанциям, оптимизировать управление работой по централизованному казначейскому исполнению доходов и расходов, всесторонне повышать эффективность выделения бюджетных средств. Подталкивать соответствующие ведомства и учреждения к тому, чтобы они активизировали управление бюджетными доходами и расходами, несли ответственность за обеспечение целостности, нормативности и реальности бюджетов и за результаты их исполнения. Необходимо укреплять роль банка бюджетных проектов как основной опоры, более основательно и тщательно заниматься работой по созданию резервов проектов, и тем самым гарантировать незамедлительное исполнение бюджетов после их утверждения, избегать возникновения ситуации, когда проект еще не готов, а денежные средства на его реализацию уже выданы. В более широких масштабах продвигать интеграцию бюджетного управления, интенсифицировать мониторинг функционирования финансов и раннее предупреждение возможных рисков, чтобы лучше обслуживать исполнение бюджетов и реализацию соответствующих политустановок. Предстоит прилагать еще больше усилий для повышения уровня открытости правительственных и ведомственных бюджетов и отчетов, улучшать формы и расширять масштабы, детализировать обнародованную информацию, интенсивно способствовать открытости финансовой политики, добровольно подчиняться контролю со стороны общества. Наряду с этим предстоит развертывать целевые мероприятия по контролю над исполнением бюджетов, содействовать нормативному, безопасному и высокоэффективному использованию финансовых средств. </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2. Со всей серьезностью соблюдать режим экономии.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Рассматривая упорную и самоотверженную борьбу, трудолюбие и бережливость как руководящую идею и долгосрочный курс для выполнения финансовой работы, придерживаясь принципа строгого соблюдения режима экономии в партийных и правительственных органах, мы должны поставить под надежный контроль такие важные звенья работы, как бюджетное управление, размещение активов и правительственные закупки. Стремясь быть «скупцами», способными вести верный расчет, создать механизм финансового обеспечения, поощряющий экономию. Необходимо строго контролировать обычные расходы, ужесточать бюджетное управление «служебными расходами по трем статьям», всеми силами стремиться к тому, чтобы ни одного необязательного проекта не было запущено, и ни одной копейки не было потрачено бесполезно, таким образом выделять еще больше финансовых ресурсов на стабилизацию экономического роста, занятости населения и цен на товары. Необходимо призывать местные правительства и соответствующие ведомства к усилению управления бюджетными средствами и проектами, активизации повседневного контроля, категорически предотвращая использование финансовых средств не по назначению и их расходование не по установленным правилам.</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3. Интенсифицировать результативное управление бюджетами.</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Последовательно стимулировать результативное управление бюджетами, чтобы углубленно внедрить идеи и методы результативности во весь процесс бюджетного управления. Рассматривая реализацию важнейших решений и планов ЦК партии и Госсовета как важнейшее направление работы по результативному бюджетированию, улучшать проведение предварительной оценки результативности и эффективности новых важнейших политических мер и расходных проектов, повышать осуществимость политических установок и устойчивость функционирования госфинансов. Ужесточать целевое результативное управление, повышать системность, точность и практичность системы результативных показателей. Совершенствовать механизм оценки результативности и эффективности бюджетных ассигнований на реализацию важнейших политических мер и крупнейшие объекты, в полной мере использовать итоги оценки результативности и эффективности, рассматривать результаты оценки как важное основание для совершенствования политических установок, бюджетного планирования и улучшения управления. Энергично ориентировать третью сторону на участие в работе по результативному бюджетному управлению и нормировать ее деятельность. Активно предавать гласности информацию о выполнении результативных показателей, добровольно подчиняться контролю со стороны общества и народных масс.</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4. Должным образом выполнить работу по «трем гарантиям» на низовом уровне.</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Увеличить трансфертные платежи из центрального бюджета в местные, эффективно использовать механизм прямого перечисления финансовых средств, стимулировать единое использование финансовых возможностей на провинциальном уровне, направлять больше денежных средств в низовые структуры. Ориентировать местные правительства на интенсификацию мониторинга процессов исполнения уездных и районных бюджетов, еще более всесторонне и точно оценивать ситуацию с исполнением уездных и районных бюджетов, при этом осуществляя динамичный мониторинг, классифицированное управление и применение адресных мер. Раскрывать роль всех управлений по мониторингу и контролю, подотчетных Министерству финансов, чтобы своевременно выявлять и устранять риски и скрытые угрозы. Оптимизировать систему интегрированного бюджетного управления и усиливать техническую поддержку, чтобы обеспечивать перечисление в полном объеме бюджетных средств на предоставление «трех гарантий». Закреплять ответственность местных правительств за финансовое обеспечение, особенно ответственность уездных правительств как субъектов финансирования. При возникновении в отдельных районах опасных случаев, связанных с предоставлением «трех гарантий», следует оказывать содействие местным правительствам в том, чтобы они быстро на них реагировали, надлежащим образом разрешали проблемы и преодолевали риски.</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5. Усиливать управление долговыми обязательствами местных правительств.</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Предстоит усиливать межведомственное взаимодействие, контроль и управление, конкретизировать ответственность всех сторон, усиливать контроль и управление одновременно в отношении получателей и отправителей денежных средств, перекрывать путь к увеличению скрытых долговых обязательств, решительно сдерживать рост скрытых долгов. Побуждать правительства на провинциальном уровне к усилению анализа, исследования и оценки рисков, проведению периодического контроля, ревизии и оценки и наращиванию динамики соответствующей работы на городском и уездном уровнях. Подталкивать их к постепенному снижению уровня долговых рисков с опорой на собственные силы, надежному погашению непогашенных скрытых долгов. Продолжать ужесточать контроль и управление, своевременно выявлять, наказывать и привлекать к ответственности за увеличение скрытых долговых обязательств и т.д. Усиливать комплексное управление компаниями, созданными местными правительствами в качестве платформ для привлечения денежных средств, постепенно освободить такие компании от функций аккумуляции средств вместо местных правительств, оказывать им поддержку в трансформации своей модели развития согласно своей специализации. Усиливать управление целевыми облигациями после их выделения, категорически запрещать такие действия, как подмена выполнения расходных обязательств выделением казначейских средств, отсутствие проверки результатов использования бюджетных ассигнований после их выдачи, оздоровлять механизм управления проектами с использованием целевых облигаций, обеспечить своевременное и в полном размере погашение займов и выплату процентов по ним, абсолютно не допуская никаких рисков, связанных с облигациями, выпускаемыми в установленном законом порядке.</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6. Усиливать финансово-бухгалтерский контроль.</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Претворяя в жизнь «Предложения по дальнейшему усилению финансово-бухгалтерского контроля», стимулировать создание системы финансово-бухгалтерского контроля, при которой финансовые органы несут основную ответственность за контроль, соответствующие органы осуществляют контроль в соответствии со своими обязанностями, все учреждения – внутренний контроль, заинтересованные посреднические организации – операционный контроль, отраслевые ассоциации – контроль самодисциплины. Совершенствовать механизм горизонтальной координации действий субъектов осуществления контроля и вертикального взаимодействия Центра и мест. Развертывать по всей стране целевые мероприятия по финансово-бухгалтерскому контролю, делая упор на реализацию льготной политики в сфере налогов и сборов, строгое соблюдение экономии партийными и правительственными органами и другие важные аспекты, со всей решительностью пресекать любые попытки нарушения закона и правовых актов, ужесточать финансово-экономическую дисциплину. Ускорять пересмотр Закона о бухгалтерском учете, Закона о сертифицированных бухгалтерах, усиливать контроль за качеством бухгалтерской информации и деятельности посреднических организаций. Содействовать органичному сочетанию и взаимному координированию финансово-бухгалтерского контроля с контролем в других сферах, осуществлять обмен информацией, передачу выявленных признаков нарушения, согласованный контроль и совместное пользование результатами. Изучать возможность для более активного использования системы «Интернет плюс контроль», больших данных и других современных средств информационных технологий, повышая эффективность контроля. </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 xml:space="preserve">7. Продолжать углублять реформу бюджетно-налоговой системы. </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Совершенствовать современную бюджетную систему, повышать целостность системы бюджетного управления, стимулировать создание системы критериев бюджетных расходов, совершенствовать систему и стандарты обеспечения основных общественных услуг. Продолжать отлаживать межправительственные финансовые взаимоотношения на провинциальном уровне и ниже, создать и совершенствовать финансовую систему на провинциальном уровне и ниже с более рациональным определением прав и ответственности, регламентированным распределением доходов, относительно сбалансированным размещением финансовых возможностей и более надежным обеспечением в низах. Улучшать систему финансовых трансфертных платежей, нормировать классификацию трансфертных платежей, оздоровлять механизм их регулярной оценки и аннулирования, всесторонне повышать степень научной обоснованности управления. Изучать возможность для оптимизации сферы комплексного взимания личных подоходных налогов, совершенствовать перечень расходов, подлежащих специальному дополнительному вычету при расчете личного подоходного налога. Продвигать реформу системы НДС, устранять препятствия в процессе произведения вычета, оптимизировать разработку порядка возврата суммы превышения «входящего» НДС над «исходящим». Планомерно содействовать улучшению системы местных налогов. Усиливать управление полным жизненным циклом государственных активов административных органов и бюджетных учреждений, повышать уровень составления отчета о государственных активах и уровень его информатизации, как следует осуществлять все требования единого централизованного управления государственным финансовым капиталом. </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8. Сознательно подчиняться бюджетной проверке и контролю со стороны СНП.</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Углубленно реализовывать Постановление ПК ВСНП об усилении проверки и контроля за центральным бюджетом, непрерывно совершенствовать содержание и сферу представляемых на рассмотрение ВСНП правительственных и ведомственных бюджетов, в ходе исполнения бюджетов согласно требованиям своевременно доносить соответствующую информацию. Претворять в жизнь постановления ВСНП и его Постоянного комитета о бюджетах, а также замечания, сделанные ими по результатам рассмотрения, целенаправленно улучшать и усиливать финансово-бюджетную работу. Надлежащим образом выполнять работу по представлению соответствующим структурам СНП отчетов о разработке важнейших финансово-налоговых политических установок, о важных изменениях в структуре бюджетных доходов и расходов в ходе исполнения бюджетов и т.д. В процессе составления бюджетов, разработки политических установок и продвижения реформ сознательно прислушиваться к мнениям и предложениям депутатов СНП путем проведения собеседований, совещаний для информирования, специальных мероприятий по изучению и обоснованию и т.д. Со всей серьезностью рассматривать предложения депутатов СНП, активизировать повседневные контакты и увеличить частоту посещений, инициативно реагировать на озабоченности депутатов СНП. Основательно заниматься работой по решению проблем, выявленных в ходе аудиторской проверки, создать и совершенствовать рабочий механизм упорядочения стиля и исправления ошибок, усиливать закрепление ответственности и привлечение правонарушителей к ответственности, решительно пресекать появление правонарушителей-рецидивистов.</w:t>
      </w:r>
    </w:p>
    <w:p>
      <w:pPr>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Для выполнения новых целей, стоящих перед нами в новом походе в новую эпоху, нам необходимо обновлять свой стиль работы, более смело брать на себя ответственность и достигать новых успехов. Мы должны, еще теснее сплотившись вокруг ЦК КПК, ядром которого является товарищ Си Цзиньпин, руководствуясь идеями Си Цзиньпина о социализме с китайской спецификой новой эпохи, глубоко понимая решающее значение утверждения статуса товарища Си Цзиньпина как руководящего ядра ЦК КПК и партии в целом, руководящего положения идей Си Цзиньпина о социализме с китайской спецификой новой эпохи, упрочивать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социализма с китайской спецификой, решительно отстаивать статус генерального секретаря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смело брать на себя ответственность, умело работать, объединять общие усилия, целеустремленно двигаться вперед, в приподнятом и воодушевленном состоянии духа основательно выполнять финансовую работу, чтобы внести новый и более весомый вклад во всестороннее строительство модернизированного социалистического государства и всестороннее продвижение процесса великого возрождения китайской нации! </w:t>
      </w:r>
    </w:p>
    <w:p>
      <w:pPr>
        <w:pStyle w:val="16"/>
        <w:adjustRightInd w:val="0"/>
        <w:snapToGrid w:val="0"/>
        <w:spacing w:line="300" w:lineRule="auto"/>
        <w:ind w:firstLineChars="0"/>
        <w:rPr>
          <w:rFonts w:ascii="Times New Roman" w:hAnsi="Times New Roman" w:cs="Times New Roman"/>
          <w:sz w:val="24"/>
          <w:szCs w:val="24"/>
          <w:lang w:val="ru-RU"/>
        </w:rPr>
      </w:pPr>
    </w:p>
    <w:p>
      <w:pPr>
        <w:adjustRightInd w:val="0"/>
        <w:snapToGrid w:val="0"/>
        <w:spacing w:line="300" w:lineRule="auto"/>
        <w:rPr>
          <w:rFonts w:ascii="Times New Roman" w:hAnsi="Times New Roman" w:cs="Times New Roman"/>
          <w:sz w:val="24"/>
          <w:szCs w:val="24"/>
          <w:lang w:val="ru-RU"/>
        </w:rPr>
      </w:pPr>
    </w:p>
    <w:p>
      <w:pPr>
        <w:snapToGrid w:val="0"/>
        <w:spacing w:line="300" w:lineRule="auto"/>
        <w:ind w:firstLine="420"/>
        <w:rPr>
          <w:rFonts w:ascii="Times New Roman" w:hAnsi="Times New Roman" w:cs="Times New Roman"/>
          <w:sz w:val="24"/>
          <w:szCs w:val="24"/>
          <w:lang w:val="ru-RU"/>
        </w:rPr>
      </w:pPr>
    </w:p>
    <w:p>
      <w:pPr>
        <w:snapToGrid w:val="0"/>
        <w:spacing w:line="300" w:lineRule="auto"/>
        <w:ind w:firstLine="420"/>
        <w:rPr>
          <w:rFonts w:ascii="Times New Roman" w:hAnsi="Times New Roman" w:cs="Times New Roman"/>
          <w:sz w:val="24"/>
          <w:szCs w:val="24"/>
          <w:lang w:val="ru-RU"/>
        </w:rPr>
      </w:pPr>
    </w:p>
    <w:p>
      <w:pPr>
        <w:snapToGrid w:val="0"/>
        <w:spacing w:line="300" w:lineRule="auto"/>
        <w:rPr>
          <w:rFonts w:ascii="Times New Roman" w:hAnsi="Times New Roman" w:cs="Times New Roman"/>
          <w:b/>
          <w:sz w:val="24"/>
          <w:szCs w:val="24"/>
          <w:lang w:val="ru-RU"/>
        </w:rPr>
      </w:pPr>
    </w:p>
    <w:p>
      <w:pPr>
        <w:snapToGrid w:val="0"/>
        <w:spacing w:line="300" w:lineRule="auto"/>
        <w:ind w:firstLine="420"/>
        <w:rPr>
          <w:rFonts w:ascii="Times New Roman" w:hAnsi="Times New Roman" w:cs="Times New Roman"/>
          <w:sz w:val="24"/>
          <w:szCs w:val="24"/>
          <w:lang w:val="ru-RU"/>
        </w:rPr>
      </w:pPr>
    </w:p>
    <w:sectPr>
      <w:footerReference r:id="rId3" w:type="default"/>
      <w:pgSz w:w="11906" w:h="16838"/>
      <w:pgMar w:top="2098" w:right="1531" w:bottom="1985" w:left="1531"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148744"/>
      <w:docPartObj>
        <w:docPartGallery w:val="autotext"/>
      </w:docPartObj>
    </w:sdtPr>
    <w:sdtEndPr>
      <w:rPr>
        <w:rFonts w:ascii="Times New Roman" w:hAnsi="Times New Roman" w:cs="Times New Roman"/>
        <w:sz w:val="21"/>
      </w:rPr>
    </w:sdtEndPr>
    <w:sdtContent>
      <w:p>
        <w:pPr>
          <w:pStyle w:val="4"/>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褚琦琦">
    <w15:presenceInfo w15:providerId="WPS Office" w15:userId="81093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MDczNWM5MDY3OTM3MTE0OGM2NDNmNjJhMTZmMTMifQ=="/>
  </w:docVars>
  <w:rsids>
    <w:rsidRoot w:val="00F75048"/>
    <w:rsid w:val="00007095"/>
    <w:rsid w:val="000326D3"/>
    <w:rsid w:val="00035857"/>
    <w:rsid w:val="000379E6"/>
    <w:rsid w:val="0004280F"/>
    <w:rsid w:val="00042947"/>
    <w:rsid w:val="0004307C"/>
    <w:rsid w:val="0005388E"/>
    <w:rsid w:val="00053D8D"/>
    <w:rsid w:val="000548CF"/>
    <w:rsid w:val="00055523"/>
    <w:rsid w:val="000563C9"/>
    <w:rsid w:val="0006003E"/>
    <w:rsid w:val="000632C4"/>
    <w:rsid w:val="0008414A"/>
    <w:rsid w:val="00084C36"/>
    <w:rsid w:val="00085FA1"/>
    <w:rsid w:val="0008646F"/>
    <w:rsid w:val="00090CE4"/>
    <w:rsid w:val="00092BFB"/>
    <w:rsid w:val="00093245"/>
    <w:rsid w:val="00094334"/>
    <w:rsid w:val="0009552D"/>
    <w:rsid w:val="000A1CA6"/>
    <w:rsid w:val="000A7DFF"/>
    <w:rsid w:val="000B05A6"/>
    <w:rsid w:val="000B505E"/>
    <w:rsid w:val="000B79B2"/>
    <w:rsid w:val="000C7632"/>
    <w:rsid w:val="000D20AE"/>
    <w:rsid w:val="000E0295"/>
    <w:rsid w:val="000E7B93"/>
    <w:rsid w:val="00102FE3"/>
    <w:rsid w:val="00104B18"/>
    <w:rsid w:val="001140F3"/>
    <w:rsid w:val="001151B3"/>
    <w:rsid w:val="001166C4"/>
    <w:rsid w:val="00125462"/>
    <w:rsid w:val="001319EF"/>
    <w:rsid w:val="00131E2F"/>
    <w:rsid w:val="001360EF"/>
    <w:rsid w:val="00137BC5"/>
    <w:rsid w:val="00142349"/>
    <w:rsid w:val="001437DD"/>
    <w:rsid w:val="00143FCC"/>
    <w:rsid w:val="00146829"/>
    <w:rsid w:val="001550B3"/>
    <w:rsid w:val="0016779B"/>
    <w:rsid w:val="00170CBC"/>
    <w:rsid w:val="00175B9B"/>
    <w:rsid w:val="00196039"/>
    <w:rsid w:val="001A7E9C"/>
    <w:rsid w:val="001C0DA2"/>
    <w:rsid w:val="001C3DF6"/>
    <w:rsid w:val="001C5D48"/>
    <w:rsid w:val="001C742E"/>
    <w:rsid w:val="001C7C25"/>
    <w:rsid w:val="001D2F87"/>
    <w:rsid w:val="001E25E8"/>
    <w:rsid w:val="001E387A"/>
    <w:rsid w:val="001E7A77"/>
    <w:rsid w:val="001F4E91"/>
    <w:rsid w:val="002008D1"/>
    <w:rsid w:val="00200A34"/>
    <w:rsid w:val="002031C0"/>
    <w:rsid w:val="00211863"/>
    <w:rsid w:val="00220F76"/>
    <w:rsid w:val="00230F09"/>
    <w:rsid w:val="002365D9"/>
    <w:rsid w:val="00245430"/>
    <w:rsid w:val="00251B65"/>
    <w:rsid w:val="00252B7C"/>
    <w:rsid w:val="00263C7C"/>
    <w:rsid w:val="00267A4C"/>
    <w:rsid w:val="00267A58"/>
    <w:rsid w:val="00274FD6"/>
    <w:rsid w:val="0029710A"/>
    <w:rsid w:val="002A1AC3"/>
    <w:rsid w:val="002A53A2"/>
    <w:rsid w:val="002A6292"/>
    <w:rsid w:val="002B0347"/>
    <w:rsid w:val="002B4A85"/>
    <w:rsid w:val="002B5BAC"/>
    <w:rsid w:val="002C33F0"/>
    <w:rsid w:val="002C646C"/>
    <w:rsid w:val="002D4B47"/>
    <w:rsid w:val="002D63C1"/>
    <w:rsid w:val="002E1C01"/>
    <w:rsid w:val="00300009"/>
    <w:rsid w:val="003054FA"/>
    <w:rsid w:val="0030747F"/>
    <w:rsid w:val="0032218D"/>
    <w:rsid w:val="00322A28"/>
    <w:rsid w:val="00326D79"/>
    <w:rsid w:val="00330D89"/>
    <w:rsid w:val="00332D66"/>
    <w:rsid w:val="003334DA"/>
    <w:rsid w:val="00335726"/>
    <w:rsid w:val="003373A7"/>
    <w:rsid w:val="00340996"/>
    <w:rsid w:val="00344691"/>
    <w:rsid w:val="0034606C"/>
    <w:rsid w:val="003518EC"/>
    <w:rsid w:val="00352B94"/>
    <w:rsid w:val="00356478"/>
    <w:rsid w:val="0036060D"/>
    <w:rsid w:val="00361DE1"/>
    <w:rsid w:val="00382CC0"/>
    <w:rsid w:val="00382E01"/>
    <w:rsid w:val="00382EF1"/>
    <w:rsid w:val="003855A7"/>
    <w:rsid w:val="00387DC4"/>
    <w:rsid w:val="00390806"/>
    <w:rsid w:val="00390F35"/>
    <w:rsid w:val="00393696"/>
    <w:rsid w:val="00395088"/>
    <w:rsid w:val="003A0D0B"/>
    <w:rsid w:val="003A1DC9"/>
    <w:rsid w:val="003A4017"/>
    <w:rsid w:val="003C0C6A"/>
    <w:rsid w:val="003C3355"/>
    <w:rsid w:val="003C6EFE"/>
    <w:rsid w:val="003D0EF3"/>
    <w:rsid w:val="003D6BA8"/>
    <w:rsid w:val="003D72F2"/>
    <w:rsid w:val="003E29EC"/>
    <w:rsid w:val="003E405C"/>
    <w:rsid w:val="003F6F35"/>
    <w:rsid w:val="0040098D"/>
    <w:rsid w:val="0040245B"/>
    <w:rsid w:val="00403666"/>
    <w:rsid w:val="004063A8"/>
    <w:rsid w:val="0040710B"/>
    <w:rsid w:val="00410965"/>
    <w:rsid w:val="00412DAC"/>
    <w:rsid w:val="00414986"/>
    <w:rsid w:val="00416EE9"/>
    <w:rsid w:val="00423CCC"/>
    <w:rsid w:val="004324EF"/>
    <w:rsid w:val="004467A1"/>
    <w:rsid w:val="00454612"/>
    <w:rsid w:val="004552A1"/>
    <w:rsid w:val="00456D80"/>
    <w:rsid w:val="004627AF"/>
    <w:rsid w:val="00462C75"/>
    <w:rsid w:val="004645EF"/>
    <w:rsid w:val="004660BD"/>
    <w:rsid w:val="0047370F"/>
    <w:rsid w:val="00474BDA"/>
    <w:rsid w:val="00483D0E"/>
    <w:rsid w:val="00496C35"/>
    <w:rsid w:val="004A4367"/>
    <w:rsid w:val="004A5744"/>
    <w:rsid w:val="004B3BA9"/>
    <w:rsid w:val="004C23EE"/>
    <w:rsid w:val="004C3F91"/>
    <w:rsid w:val="004C5B78"/>
    <w:rsid w:val="004D115E"/>
    <w:rsid w:val="004D6F7D"/>
    <w:rsid w:val="004E4304"/>
    <w:rsid w:val="004F0BFD"/>
    <w:rsid w:val="00500D99"/>
    <w:rsid w:val="005033BD"/>
    <w:rsid w:val="005065A8"/>
    <w:rsid w:val="00514D18"/>
    <w:rsid w:val="00514F48"/>
    <w:rsid w:val="00516C4B"/>
    <w:rsid w:val="005307A6"/>
    <w:rsid w:val="00534562"/>
    <w:rsid w:val="00563B58"/>
    <w:rsid w:val="0057778E"/>
    <w:rsid w:val="00586EAB"/>
    <w:rsid w:val="00596B08"/>
    <w:rsid w:val="005A0A0F"/>
    <w:rsid w:val="005B05A5"/>
    <w:rsid w:val="005B1EE9"/>
    <w:rsid w:val="005B5642"/>
    <w:rsid w:val="005B5E3F"/>
    <w:rsid w:val="005B6100"/>
    <w:rsid w:val="005C1C8A"/>
    <w:rsid w:val="005C55C2"/>
    <w:rsid w:val="005D3B75"/>
    <w:rsid w:val="005D5E7A"/>
    <w:rsid w:val="005D69AA"/>
    <w:rsid w:val="005E2A6D"/>
    <w:rsid w:val="005E39E0"/>
    <w:rsid w:val="005E6D20"/>
    <w:rsid w:val="005E7BEF"/>
    <w:rsid w:val="005F0835"/>
    <w:rsid w:val="005F182D"/>
    <w:rsid w:val="00601E6D"/>
    <w:rsid w:val="00612443"/>
    <w:rsid w:val="00614633"/>
    <w:rsid w:val="00615F10"/>
    <w:rsid w:val="006331F7"/>
    <w:rsid w:val="00641251"/>
    <w:rsid w:val="00652912"/>
    <w:rsid w:val="00660A69"/>
    <w:rsid w:val="00673E3E"/>
    <w:rsid w:val="0067557F"/>
    <w:rsid w:val="00675B8F"/>
    <w:rsid w:val="006767EE"/>
    <w:rsid w:val="006817BA"/>
    <w:rsid w:val="00681ABA"/>
    <w:rsid w:val="0068295C"/>
    <w:rsid w:val="00684C3F"/>
    <w:rsid w:val="00684D2B"/>
    <w:rsid w:val="00694AB9"/>
    <w:rsid w:val="006976D7"/>
    <w:rsid w:val="006A5EC1"/>
    <w:rsid w:val="006A636C"/>
    <w:rsid w:val="006B648A"/>
    <w:rsid w:val="006C22CF"/>
    <w:rsid w:val="006C3F4A"/>
    <w:rsid w:val="006C7060"/>
    <w:rsid w:val="006D3F65"/>
    <w:rsid w:val="006D466B"/>
    <w:rsid w:val="006D77C3"/>
    <w:rsid w:val="006E70D3"/>
    <w:rsid w:val="006F1E86"/>
    <w:rsid w:val="006F6BB7"/>
    <w:rsid w:val="006F6C8A"/>
    <w:rsid w:val="0070140B"/>
    <w:rsid w:val="00702F4D"/>
    <w:rsid w:val="007050C6"/>
    <w:rsid w:val="00705B69"/>
    <w:rsid w:val="00707501"/>
    <w:rsid w:val="00710B01"/>
    <w:rsid w:val="007111D9"/>
    <w:rsid w:val="00715A7B"/>
    <w:rsid w:val="00715FB3"/>
    <w:rsid w:val="007227CF"/>
    <w:rsid w:val="00722E50"/>
    <w:rsid w:val="00726DE3"/>
    <w:rsid w:val="00727AFA"/>
    <w:rsid w:val="00732C65"/>
    <w:rsid w:val="00734604"/>
    <w:rsid w:val="00736E3A"/>
    <w:rsid w:val="00737ECE"/>
    <w:rsid w:val="007405A5"/>
    <w:rsid w:val="007407FE"/>
    <w:rsid w:val="00741EFF"/>
    <w:rsid w:val="00754F82"/>
    <w:rsid w:val="0075580A"/>
    <w:rsid w:val="0076363D"/>
    <w:rsid w:val="00763DB7"/>
    <w:rsid w:val="00767195"/>
    <w:rsid w:val="00781888"/>
    <w:rsid w:val="0078346F"/>
    <w:rsid w:val="007869D9"/>
    <w:rsid w:val="00793F5E"/>
    <w:rsid w:val="00795E27"/>
    <w:rsid w:val="007A4714"/>
    <w:rsid w:val="007A47FC"/>
    <w:rsid w:val="007A4DEB"/>
    <w:rsid w:val="007A50E9"/>
    <w:rsid w:val="007A5784"/>
    <w:rsid w:val="007A6E2F"/>
    <w:rsid w:val="007C5BAF"/>
    <w:rsid w:val="007D1145"/>
    <w:rsid w:val="007D298A"/>
    <w:rsid w:val="007D477A"/>
    <w:rsid w:val="007D699A"/>
    <w:rsid w:val="007E06E1"/>
    <w:rsid w:val="007E1F32"/>
    <w:rsid w:val="007E7A0B"/>
    <w:rsid w:val="00804783"/>
    <w:rsid w:val="00805CBB"/>
    <w:rsid w:val="00814E32"/>
    <w:rsid w:val="00821DB6"/>
    <w:rsid w:val="00825A69"/>
    <w:rsid w:val="00826511"/>
    <w:rsid w:val="00832039"/>
    <w:rsid w:val="00832AFC"/>
    <w:rsid w:val="00846C41"/>
    <w:rsid w:val="00846FC9"/>
    <w:rsid w:val="00863896"/>
    <w:rsid w:val="00863ED5"/>
    <w:rsid w:val="0086593D"/>
    <w:rsid w:val="00876508"/>
    <w:rsid w:val="008824D9"/>
    <w:rsid w:val="008857AE"/>
    <w:rsid w:val="008878E5"/>
    <w:rsid w:val="00893CFF"/>
    <w:rsid w:val="008976B4"/>
    <w:rsid w:val="0089798D"/>
    <w:rsid w:val="008A6D08"/>
    <w:rsid w:val="008B20FA"/>
    <w:rsid w:val="008B27B9"/>
    <w:rsid w:val="008B51F8"/>
    <w:rsid w:val="008B55F7"/>
    <w:rsid w:val="008B718B"/>
    <w:rsid w:val="008C39F0"/>
    <w:rsid w:val="008C5AF5"/>
    <w:rsid w:val="008D7841"/>
    <w:rsid w:val="008E79AC"/>
    <w:rsid w:val="008F1E2C"/>
    <w:rsid w:val="00901142"/>
    <w:rsid w:val="00902A01"/>
    <w:rsid w:val="00904D71"/>
    <w:rsid w:val="00907CEB"/>
    <w:rsid w:val="00907D5A"/>
    <w:rsid w:val="00915139"/>
    <w:rsid w:val="00915CCB"/>
    <w:rsid w:val="00917197"/>
    <w:rsid w:val="00920C0B"/>
    <w:rsid w:val="009327FC"/>
    <w:rsid w:val="009351FD"/>
    <w:rsid w:val="009471B7"/>
    <w:rsid w:val="00955035"/>
    <w:rsid w:val="0095541C"/>
    <w:rsid w:val="0096128C"/>
    <w:rsid w:val="009664FB"/>
    <w:rsid w:val="00966DF3"/>
    <w:rsid w:val="0098012D"/>
    <w:rsid w:val="0098078F"/>
    <w:rsid w:val="009814AD"/>
    <w:rsid w:val="00984E0D"/>
    <w:rsid w:val="009A14AD"/>
    <w:rsid w:val="009B3AF1"/>
    <w:rsid w:val="009B7DC1"/>
    <w:rsid w:val="009C12F2"/>
    <w:rsid w:val="009C44CC"/>
    <w:rsid w:val="009D1782"/>
    <w:rsid w:val="009D28C3"/>
    <w:rsid w:val="009D293C"/>
    <w:rsid w:val="009D3DBC"/>
    <w:rsid w:val="009E058F"/>
    <w:rsid w:val="009E75B2"/>
    <w:rsid w:val="009F1B99"/>
    <w:rsid w:val="009F7705"/>
    <w:rsid w:val="009F7DCA"/>
    <w:rsid w:val="00A001B2"/>
    <w:rsid w:val="00A046E8"/>
    <w:rsid w:val="00A062FA"/>
    <w:rsid w:val="00A155D9"/>
    <w:rsid w:val="00A15B5B"/>
    <w:rsid w:val="00A2316A"/>
    <w:rsid w:val="00A23E17"/>
    <w:rsid w:val="00A241FF"/>
    <w:rsid w:val="00A25A02"/>
    <w:rsid w:val="00A3028F"/>
    <w:rsid w:val="00A30BC5"/>
    <w:rsid w:val="00A35620"/>
    <w:rsid w:val="00A358EC"/>
    <w:rsid w:val="00A40E86"/>
    <w:rsid w:val="00A51FFE"/>
    <w:rsid w:val="00A5582E"/>
    <w:rsid w:val="00A80F9A"/>
    <w:rsid w:val="00A95AC4"/>
    <w:rsid w:val="00A97115"/>
    <w:rsid w:val="00A97975"/>
    <w:rsid w:val="00AA31BC"/>
    <w:rsid w:val="00AA3EDC"/>
    <w:rsid w:val="00AB4A8C"/>
    <w:rsid w:val="00AB5026"/>
    <w:rsid w:val="00AB5D94"/>
    <w:rsid w:val="00AB77DA"/>
    <w:rsid w:val="00AC28EC"/>
    <w:rsid w:val="00AC440B"/>
    <w:rsid w:val="00AC4F61"/>
    <w:rsid w:val="00AD2BAB"/>
    <w:rsid w:val="00AD5E4F"/>
    <w:rsid w:val="00AE0B10"/>
    <w:rsid w:val="00AE6DE2"/>
    <w:rsid w:val="00B06775"/>
    <w:rsid w:val="00B1144E"/>
    <w:rsid w:val="00B149DD"/>
    <w:rsid w:val="00B1553C"/>
    <w:rsid w:val="00B157BC"/>
    <w:rsid w:val="00B2015E"/>
    <w:rsid w:val="00B26476"/>
    <w:rsid w:val="00B3278D"/>
    <w:rsid w:val="00B61186"/>
    <w:rsid w:val="00B70B73"/>
    <w:rsid w:val="00B726CA"/>
    <w:rsid w:val="00B72FDF"/>
    <w:rsid w:val="00B762AF"/>
    <w:rsid w:val="00B77538"/>
    <w:rsid w:val="00B8334E"/>
    <w:rsid w:val="00B85F7E"/>
    <w:rsid w:val="00B901DC"/>
    <w:rsid w:val="00B94FE6"/>
    <w:rsid w:val="00BA0703"/>
    <w:rsid w:val="00BA64F0"/>
    <w:rsid w:val="00BB5716"/>
    <w:rsid w:val="00BB6A5E"/>
    <w:rsid w:val="00BC5C70"/>
    <w:rsid w:val="00BD376D"/>
    <w:rsid w:val="00BE4E73"/>
    <w:rsid w:val="00BE6B01"/>
    <w:rsid w:val="00BF3389"/>
    <w:rsid w:val="00BF4B8D"/>
    <w:rsid w:val="00C1350D"/>
    <w:rsid w:val="00C14961"/>
    <w:rsid w:val="00C14F58"/>
    <w:rsid w:val="00C22DFD"/>
    <w:rsid w:val="00C31F43"/>
    <w:rsid w:val="00C4387D"/>
    <w:rsid w:val="00C43DEA"/>
    <w:rsid w:val="00C46EAF"/>
    <w:rsid w:val="00C46ED0"/>
    <w:rsid w:val="00C474E3"/>
    <w:rsid w:val="00C5598E"/>
    <w:rsid w:val="00C618EB"/>
    <w:rsid w:val="00C63525"/>
    <w:rsid w:val="00C66235"/>
    <w:rsid w:val="00C765C0"/>
    <w:rsid w:val="00C77E5B"/>
    <w:rsid w:val="00C849A2"/>
    <w:rsid w:val="00C938F4"/>
    <w:rsid w:val="00C951D6"/>
    <w:rsid w:val="00C9674C"/>
    <w:rsid w:val="00C96A4F"/>
    <w:rsid w:val="00CA2E11"/>
    <w:rsid w:val="00CB68CC"/>
    <w:rsid w:val="00CC274F"/>
    <w:rsid w:val="00CC34AD"/>
    <w:rsid w:val="00CE5ED4"/>
    <w:rsid w:val="00CF0D22"/>
    <w:rsid w:val="00CF2026"/>
    <w:rsid w:val="00CF7245"/>
    <w:rsid w:val="00CF769F"/>
    <w:rsid w:val="00D01E30"/>
    <w:rsid w:val="00D039A2"/>
    <w:rsid w:val="00D05FDF"/>
    <w:rsid w:val="00D10CB3"/>
    <w:rsid w:val="00D14809"/>
    <w:rsid w:val="00D16600"/>
    <w:rsid w:val="00D30089"/>
    <w:rsid w:val="00D316D1"/>
    <w:rsid w:val="00D31744"/>
    <w:rsid w:val="00D36582"/>
    <w:rsid w:val="00D426B7"/>
    <w:rsid w:val="00D43ACB"/>
    <w:rsid w:val="00D52EF8"/>
    <w:rsid w:val="00D602D2"/>
    <w:rsid w:val="00D75610"/>
    <w:rsid w:val="00D75D23"/>
    <w:rsid w:val="00D94DA4"/>
    <w:rsid w:val="00D952B7"/>
    <w:rsid w:val="00D95EBC"/>
    <w:rsid w:val="00DA6490"/>
    <w:rsid w:val="00DB2B54"/>
    <w:rsid w:val="00DB41AC"/>
    <w:rsid w:val="00DB557E"/>
    <w:rsid w:val="00DB6C75"/>
    <w:rsid w:val="00DB75B5"/>
    <w:rsid w:val="00DC1773"/>
    <w:rsid w:val="00DD08C2"/>
    <w:rsid w:val="00DD38F8"/>
    <w:rsid w:val="00DD74C3"/>
    <w:rsid w:val="00DE60E5"/>
    <w:rsid w:val="00DE63A2"/>
    <w:rsid w:val="00DE7875"/>
    <w:rsid w:val="00DF05D8"/>
    <w:rsid w:val="00DF0EE8"/>
    <w:rsid w:val="00DF339D"/>
    <w:rsid w:val="00DF37A5"/>
    <w:rsid w:val="00DF5705"/>
    <w:rsid w:val="00DF6E1A"/>
    <w:rsid w:val="00DF7129"/>
    <w:rsid w:val="00E042EB"/>
    <w:rsid w:val="00E05A12"/>
    <w:rsid w:val="00E06ABE"/>
    <w:rsid w:val="00E10D2E"/>
    <w:rsid w:val="00E1118C"/>
    <w:rsid w:val="00E14C95"/>
    <w:rsid w:val="00E15483"/>
    <w:rsid w:val="00E21183"/>
    <w:rsid w:val="00E234BC"/>
    <w:rsid w:val="00E26C2E"/>
    <w:rsid w:val="00E27C44"/>
    <w:rsid w:val="00E30AB2"/>
    <w:rsid w:val="00E36636"/>
    <w:rsid w:val="00E43944"/>
    <w:rsid w:val="00E55CA1"/>
    <w:rsid w:val="00E62664"/>
    <w:rsid w:val="00E715F4"/>
    <w:rsid w:val="00E75093"/>
    <w:rsid w:val="00E80A39"/>
    <w:rsid w:val="00E82197"/>
    <w:rsid w:val="00E830BA"/>
    <w:rsid w:val="00E8562A"/>
    <w:rsid w:val="00EA4A44"/>
    <w:rsid w:val="00EA6879"/>
    <w:rsid w:val="00EB7D41"/>
    <w:rsid w:val="00EC7633"/>
    <w:rsid w:val="00ED01D6"/>
    <w:rsid w:val="00ED0427"/>
    <w:rsid w:val="00ED2E22"/>
    <w:rsid w:val="00ED4723"/>
    <w:rsid w:val="00ED4F17"/>
    <w:rsid w:val="00ED5463"/>
    <w:rsid w:val="00ED651E"/>
    <w:rsid w:val="00ED70AA"/>
    <w:rsid w:val="00EE21C0"/>
    <w:rsid w:val="00EE719E"/>
    <w:rsid w:val="00F11A4A"/>
    <w:rsid w:val="00F11F43"/>
    <w:rsid w:val="00F14D9B"/>
    <w:rsid w:val="00F2479C"/>
    <w:rsid w:val="00F26D3A"/>
    <w:rsid w:val="00F321AB"/>
    <w:rsid w:val="00F325CB"/>
    <w:rsid w:val="00F33365"/>
    <w:rsid w:val="00F34EAB"/>
    <w:rsid w:val="00F40D07"/>
    <w:rsid w:val="00F4285A"/>
    <w:rsid w:val="00F55F3A"/>
    <w:rsid w:val="00F57F29"/>
    <w:rsid w:val="00F62E0A"/>
    <w:rsid w:val="00F679E0"/>
    <w:rsid w:val="00F75048"/>
    <w:rsid w:val="00F82079"/>
    <w:rsid w:val="00F87FCB"/>
    <w:rsid w:val="00F9490F"/>
    <w:rsid w:val="00F94F87"/>
    <w:rsid w:val="00F95F15"/>
    <w:rsid w:val="00FA0776"/>
    <w:rsid w:val="00FA3E4D"/>
    <w:rsid w:val="00FC1646"/>
    <w:rsid w:val="00FD2240"/>
    <w:rsid w:val="00FD6DEA"/>
    <w:rsid w:val="00FD6F37"/>
    <w:rsid w:val="00FD6F3D"/>
    <w:rsid w:val="00FE34C2"/>
    <w:rsid w:val="3BEB50F1"/>
    <w:rsid w:val="4D143C83"/>
    <w:rsid w:val="7C00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57</Pages>
  <Words>17085</Words>
  <Characters>125168</Characters>
  <Lines>1009</Lines>
  <Paragraphs>284</Paragraphs>
  <TotalTime>3</TotalTime>
  <ScaleCrop>false</ScaleCrop>
  <LinksUpToDate>false</LinksUpToDate>
  <CharactersWithSpaces>142162</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2023-03-09T16:08:00Z</dcterms:created>
  <dc:creator>Елена</dc:creator>
  <cp:lastModifiedBy>褚琦琦</cp:lastModifiedBy>
  <cp:lastPrinted>2023-03-04T10:28:00Z</cp:lastPrinted>
  <dcterms:modified xsi:type="dcterms:W3CDTF">2023-03-17T08:52:04Z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7D8FEAA2EC5B3F2FB4B9136447096EBA_43</vt:lpwstr>
  </property>
</Properties>
</file>