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Times New Roman" w:hAnsi="Times New Roman" w:eastAsia="微软雅黑"/>
          <w:b/>
          <w:bCs/>
          <w:lang w:bidi="ar"/>
        </w:rPr>
      </w:pPr>
      <w:bookmarkStart w:id="0" w:name="_GoBack"/>
      <w:bookmarkEnd w:id="0"/>
    </w:p>
    <w:p>
      <w:pPr>
        <w:snapToGrid w:val="0"/>
        <w:spacing w:before="240" w:beforeLines="100"/>
        <w:jc w:val="center"/>
        <w:rPr>
          <w:rFonts w:ascii="Times New Roman" w:hAnsi="Times New Roman" w:eastAsia="微软雅黑"/>
          <w:b/>
          <w:bCs/>
          <w:sz w:val="28"/>
          <w:szCs w:val="28"/>
          <w:lang w:val="en" w:bidi="ar"/>
        </w:rPr>
      </w:pPr>
      <w:r>
        <w:rPr>
          <w:rFonts w:ascii="Times New Roman" w:hAnsi="Times New Roman" w:eastAsia="微软雅黑"/>
          <w:b/>
          <w:bCs/>
          <w:sz w:val="28"/>
          <w:szCs w:val="28"/>
          <w:lang w:bidi="ar"/>
        </w:rPr>
        <w:t>Joint</w:t>
      </w:r>
      <w:r>
        <w:rPr>
          <w:rFonts w:ascii="Times New Roman" w:hAnsi="Times New Roman" w:eastAsia="微软雅黑"/>
          <w:b/>
          <w:bCs/>
          <w:sz w:val="28"/>
          <w:szCs w:val="28"/>
          <w:lang w:val="en" w:bidi="ar"/>
        </w:rPr>
        <w:t xml:space="preserve"> Statement on Enhancing Sustainable Development Cooperation </w:t>
      </w:r>
    </w:p>
    <w:p>
      <w:pPr>
        <w:snapToGrid w:val="0"/>
        <w:spacing w:before="240" w:beforeLines="100"/>
        <w:jc w:val="center"/>
        <w:rPr>
          <w:rFonts w:ascii="Times New Roman" w:hAnsi="Times New Roman" w:eastAsia="微软雅黑"/>
          <w:b/>
          <w:bCs/>
          <w:sz w:val="28"/>
          <w:szCs w:val="28"/>
          <w:lang w:val="en" w:bidi="ar"/>
        </w:rPr>
      </w:pPr>
      <w:r>
        <w:rPr>
          <w:rFonts w:ascii="Times New Roman" w:hAnsi="Times New Roman" w:eastAsia="微软雅黑"/>
          <w:b/>
          <w:bCs/>
          <w:sz w:val="28"/>
          <w:szCs w:val="28"/>
          <w:lang w:val="en" w:bidi="ar"/>
        </w:rPr>
        <w:t>of the Lancang-Mekong Countries</w:t>
      </w:r>
    </w:p>
    <w:p>
      <w:pPr>
        <w:snapToGrid w:val="0"/>
        <w:spacing w:before="240" w:beforeLines="100"/>
        <w:jc w:val="center"/>
        <w:rPr>
          <w:rFonts w:ascii="Times New Roman" w:hAnsi="Times New Roman" w:eastAsia="微软雅黑"/>
          <w:b/>
          <w:bCs/>
          <w:sz w:val="28"/>
          <w:szCs w:val="28"/>
          <w:lang w:val="en" w:bidi="ar"/>
        </w:rPr>
      </w:pPr>
    </w:p>
    <w:p>
      <w:pPr>
        <w:snapToGrid w:val="0"/>
        <w:spacing w:before="240" w:beforeLines="100"/>
        <w:ind w:firstLine="560" w:firstLineChars="200"/>
        <w:jc w:val="center"/>
        <w:rPr>
          <w:rFonts w:ascii="Times New Roman" w:hAnsi="Times New Roman"/>
          <w:sz w:val="28"/>
          <w:szCs w:val="28"/>
          <w:lang w:val="en"/>
        </w:rPr>
      </w:pPr>
      <w:r>
        <w:rPr>
          <w:rFonts w:ascii="Times New Roman" w:hAnsi="Times New Roman"/>
          <w:sz w:val="28"/>
          <w:szCs w:val="28"/>
          <w:lang w:val="en"/>
        </w:rPr>
        <w:t>8 June 2021, Chongqing</w:t>
      </w:r>
    </w:p>
    <w:p>
      <w:pPr>
        <w:snapToGrid w:val="0"/>
        <w:spacing w:before="240" w:beforeLines="100"/>
        <w:ind w:firstLine="560" w:firstLineChars="200"/>
        <w:jc w:val="center"/>
        <w:rPr>
          <w:rFonts w:ascii="Times New Roman" w:hAnsi="Times New Roman"/>
          <w:kern w:val="2"/>
          <w:sz w:val="28"/>
          <w:szCs w:val="28"/>
          <w:lang w:val="en" w:bidi="ar-SA"/>
        </w:rPr>
      </w:pPr>
    </w:p>
    <w:p>
      <w:pPr>
        <w:snapToGrid w:val="0"/>
        <w:spacing w:before="240" w:beforeLines="100"/>
        <w:ind w:firstLine="560" w:firstLineChars="200"/>
        <w:jc w:val="thaiDistribute"/>
        <w:rPr>
          <w:rFonts w:ascii="Times New Roman" w:hAnsi="Times New Roman"/>
          <w:sz w:val="28"/>
          <w:szCs w:val="28"/>
        </w:rPr>
      </w:pPr>
      <w:r>
        <w:rPr>
          <w:rFonts w:ascii="Times New Roman" w:hAnsi="Times New Roman"/>
          <w:sz w:val="28"/>
          <w:szCs w:val="28"/>
        </w:rPr>
        <w:t>At the Sixth Lancang</w:t>
      </w:r>
      <w:r>
        <w:rPr>
          <w:rFonts w:ascii="Times New Roman" w:hAnsi="Times New Roman"/>
          <w:sz w:val="28"/>
          <w:szCs w:val="28"/>
          <w:lang w:val="en"/>
        </w:rPr>
        <w:t>-</w:t>
      </w:r>
      <w:r>
        <w:rPr>
          <w:rFonts w:ascii="Times New Roman" w:hAnsi="Times New Roman"/>
          <w:sz w:val="28"/>
          <w:szCs w:val="28"/>
        </w:rPr>
        <w:t>Mekong Cooperation</w:t>
      </w:r>
      <w:r>
        <w:rPr>
          <w:rFonts w:hint="cs" w:ascii="Times New Roman" w:hAnsi="Times New Roman"/>
          <w:sz w:val="28"/>
          <w:szCs w:val="35"/>
          <w:cs/>
        </w:rPr>
        <w:t xml:space="preserve"> </w:t>
      </w:r>
      <w:r>
        <w:rPr>
          <w:rFonts w:ascii="Times New Roman" w:hAnsi="Times New Roman"/>
          <w:sz w:val="28"/>
          <w:szCs w:val="28"/>
        </w:rPr>
        <w:t>(LMC) Foreign Ministers</w:t>
      </w:r>
      <w:r>
        <w:rPr>
          <w:rFonts w:ascii="Times New Roman" w:hAnsi="Times New Roman"/>
          <w:sz w:val="28"/>
          <w:szCs w:val="28"/>
          <w:lang w:val="en"/>
        </w:rPr>
        <w:t xml:space="preserve">’ </w:t>
      </w:r>
      <w:r>
        <w:rPr>
          <w:rFonts w:ascii="Times New Roman" w:hAnsi="Times New Roman"/>
          <w:sz w:val="28"/>
          <w:szCs w:val="28"/>
        </w:rPr>
        <w:t>Meeting held in Chongqing, the People</w:t>
      </w:r>
      <w:r>
        <w:rPr>
          <w:rFonts w:ascii="Times New Roman" w:hAnsi="Times New Roman"/>
          <w:sz w:val="28"/>
          <w:szCs w:val="28"/>
          <w:lang w:val="en"/>
        </w:rPr>
        <w:t>’</w:t>
      </w:r>
      <w:r>
        <w:rPr>
          <w:rFonts w:ascii="Times New Roman" w:hAnsi="Times New Roman"/>
          <w:sz w:val="28"/>
          <w:szCs w:val="28"/>
        </w:rPr>
        <w:t>s Republic of China, on 8 June 2021, the Ministers</w:t>
      </w:r>
      <w:r>
        <w:rPr>
          <w:rFonts w:ascii="Times New Roman" w:hAnsi="Times New Roman"/>
          <w:sz w:val="28"/>
          <w:szCs w:val="28"/>
          <w:lang w:val="en"/>
        </w:rPr>
        <w:t xml:space="preserve"> re</w:t>
      </w:r>
      <w:r>
        <w:rPr>
          <w:rFonts w:ascii="Times New Roman" w:hAnsi="Times New Roman"/>
          <w:sz w:val="28"/>
          <w:szCs w:val="28"/>
        </w:rPr>
        <w:t>affirm</w:t>
      </w:r>
      <w:r>
        <w:rPr>
          <w:rFonts w:ascii="Times New Roman" w:hAnsi="Times New Roman"/>
          <w:sz w:val="28"/>
          <w:szCs w:val="28"/>
          <w:lang w:val="en"/>
        </w:rPr>
        <w:t>e</w:t>
      </w:r>
      <w:r>
        <w:rPr>
          <w:rFonts w:ascii="Times New Roman" w:hAnsi="Times New Roman"/>
          <w:sz w:val="28"/>
          <w:szCs w:val="28"/>
        </w:rPr>
        <w:t>d</w:t>
      </w:r>
      <w:r>
        <w:rPr>
          <w:rFonts w:ascii="Times New Roman" w:hAnsi="Times New Roman"/>
          <w:sz w:val="28"/>
          <w:szCs w:val="28"/>
          <w:lang w:val="en"/>
        </w:rPr>
        <w:t xml:space="preserve"> </w:t>
      </w:r>
      <w:r>
        <w:rPr>
          <w:rFonts w:ascii="Times New Roman" w:hAnsi="Times New Roman"/>
          <w:sz w:val="28"/>
          <w:szCs w:val="28"/>
        </w:rPr>
        <w:t>the commitment of</w:t>
      </w:r>
      <w:r>
        <w:rPr>
          <w:rFonts w:ascii="Times New Roman" w:hAnsi="Times New Roman"/>
          <w:sz w:val="28"/>
          <w:szCs w:val="28"/>
          <w:lang w:val="en"/>
        </w:rPr>
        <w:t xml:space="preserve"> Lancang-Mekong Cooperation (LMC)</w:t>
      </w:r>
      <w:r>
        <w:rPr>
          <w:rFonts w:ascii="Times New Roman" w:hAnsi="Times New Roman"/>
          <w:sz w:val="28"/>
          <w:szCs w:val="28"/>
        </w:rPr>
        <w:t xml:space="preserve">, </w:t>
      </w:r>
      <w:r>
        <w:rPr>
          <w:rFonts w:hint="eastAsia" w:ascii="Times New Roman" w:hAnsi="Times New Roman"/>
          <w:sz w:val="28"/>
          <w:szCs w:val="28"/>
        </w:rPr>
        <w:t>which is to</w:t>
      </w:r>
      <w:r>
        <w:rPr>
          <w:rFonts w:ascii="Times New Roman" w:hAnsi="Times New Roman"/>
          <w:sz w:val="28"/>
          <w:szCs w:val="28"/>
          <w:lang w:val="en"/>
        </w:rPr>
        <w:t xml:space="preserve"> deepen</w:t>
      </w:r>
      <w:r>
        <w:rPr>
          <w:rFonts w:hint="eastAsia" w:ascii="Times New Roman" w:hAnsi="Times New Roman"/>
          <w:sz w:val="28"/>
          <w:szCs w:val="28"/>
        </w:rPr>
        <w:t xml:space="preserve"> </w:t>
      </w:r>
      <w:r>
        <w:rPr>
          <w:rFonts w:ascii="Times New Roman" w:hAnsi="Times New Roman"/>
          <w:sz w:val="28"/>
          <w:szCs w:val="28"/>
          <w:lang w:val="en"/>
        </w:rPr>
        <w:t>good-neighborliness</w:t>
      </w:r>
      <w:r>
        <w:rPr>
          <w:rFonts w:hint="eastAsia" w:ascii="Times New Roman" w:hAnsi="Times New Roman"/>
          <w:sz w:val="28"/>
          <w:szCs w:val="28"/>
        </w:rPr>
        <w:t xml:space="preserve"> and </w:t>
      </w:r>
      <w:r>
        <w:rPr>
          <w:rFonts w:ascii="Times New Roman" w:hAnsi="Times New Roman"/>
          <w:sz w:val="28"/>
          <w:szCs w:val="28"/>
          <w:lang w:val="en"/>
        </w:rPr>
        <w:t xml:space="preserve">pragmatic cooperation among the six countries, </w:t>
      </w:r>
      <w:r>
        <w:rPr>
          <w:rFonts w:ascii="Times New Roman" w:hAnsi="Times New Roman"/>
          <w:sz w:val="28"/>
          <w:szCs w:val="28"/>
        </w:rPr>
        <w:t>contribute</w:t>
      </w:r>
      <w:r>
        <w:rPr>
          <w:rFonts w:ascii="Times New Roman" w:hAnsi="Times New Roman"/>
          <w:sz w:val="28"/>
          <w:szCs w:val="28"/>
          <w:lang w:val="en"/>
        </w:rPr>
        <w:t xml:space="preserve"> collective efforts</w:t>
      </w:r>
      <w:r>
        <w:rPr>
          <w:rFonts w:ascii="Times New Roman" w:hAnsi="Times New Roman"/>
          <w:sz w:val="28"/>
          <w:szCs w:val="28"/>
        </w:rPr>
        <w:t xml:space="preserve"> to the socio-economic development of </w:t>
      </w:r>
      <w:r>
        <w:rPr>
          <w:rFonts w:ascii="Times New Roman" w:hAnsi="Times New Roman"/>
          <w:sz w:val="28"/>
          <w:szCs w:val="28"/>
          <w:lang w:val="en"/>
        </w:rPr>
        <w:t xml:space="preserve">the </w:t>
      </w:r>
      <w:r>
        <w:rPr>
          <w:rFonts w:ascii="Times New Roman" w:hAnsi="Times New Roman"/>
          <w:sz w:val="28"/>
          <w:szCs w:val="28"/>
        </w:rPr>
        <w:t>L</w:t>
      </w:r>
      <w:r>
        <w:rPr>
          <w:rFonts w:ascii="Times New Roman" w:hAnsi="Times New Roman"/>
          <w:sz w:val="28"/>
          <w:szCs w:val="28"/>
          <w:lang w:val="en"/>
        </w:rPr>
        <w:t>M</w:t>
      </w:r>
      <w:r>
        <w:rPr>
          <w:rFonts w:ascii="Times New Roman" w:hAnsi="Times New Roman"/>
          <w:sz w:val="28"/>
          <w:szCs w:val="28"/>
        </w:rPr>
        <w:t>C countries and enhance the well-being of their people, narrow the development gap among countries, support the ASEAN Community building as well as advance South-South cooperation and enhance the implementation of the UN 2030 Agenda for Sustainable Development. The Ministers also reaffirmed the principles of consensus, equality, mutual consultation and coordination, voluntarism, common contribution and shared benefits, and respect for the United Nation Charter, ASEAN Charter and international law, as well as in accordance with domestic laws, and regulations and procedures of each member countries. In this context, the Ministers issue the statement as follows:</w:t>
      </w:r>
    </w:p>
    <w:p>
      <w:pPr>
        <w:widowControl w:val="0"/>
        <w:numPr>
          <w:ilvl w:val="0"/>
          <w:numId w:val="1"/>
        </w:numPr>
        <w:tabs>
          <w:tab w:val="left" w:pos="900"/>
        </w:tabs>
        <w:snapToGrid w:val="0"/>
        <w:spacing w:before="240" w:beforeLines="100"/>
        <w:ind w:firstLine="560" w:firstLineChars="200"/>
        <w:jc w:val="both"/>
        <w:rPr>
          <w:rFonts w:ascii="Times New Roman" w:hAnsi="Times New Roman"/>
          <w:strike/>
          <w:sz w:val="28"/>
          <w:szCs w:val="28"/>
          <w:u w:val="single"/>
          <w:lang w:val="en"/>
        </w:rPr>
      </w:pPr>
      <w:r>
        <w:rPr>
          <w:rFonts w:ascii="Times New Roman" w:hAnsi="Times New Roman"/>
          <w:sz w:val="28"/>
          <w:szCs w:val="28"/>
          <w:lang w:val="en"/>
        </w:rPr>
        <w:t>We commend the joint COVID-19 response of the six member countries, agree to strength</w:t>
      </w:r>
      <w:r>
        <w:rPr>
          <w:rFonts w:hint="eastAsia" w:ascii="Times New Roman" w:hAnsi="Times New Roman"/>
          <w:sz w:val="28"/>
          <w:szCs w:val="28"/>
          <w:lang w:val="en"/>
        </w:rPr>
        <w:t>en</w:t>
      </w:r>
      <w:r>
        <w:rPr>
          <w:rFonts w:ascii="Times New Roman" w:hAnsi="Times New Roman"/>
          <w:sz w:val="28"/>
          <w:szCs w:val="28"/>
          <w:lang w:val="en"/>
        </w:rPr>
        <w:t xml:space="preserve"> cooperation on key medical supplies and vaccines</w:t>
      </w:r>
      <w:r>
        <w:rPr>
          <w:rFonts w:ascii="Times New Roman" w:hAnsi="Times New Roman"/>
          <w:sz w:val="28"/>
          <w:szCs w:val="28"/>
        </w:rPr>
        <w:t xml:space="preserve"> production and technology transfer,</w:t>
      </w:r>
      <w:r>
        <w:rPr>
          <w:rFonts w:ascii="Times New Roman" w:hAnsi="Times New Roman"/>
          <w:sz w:val="28"/>
          <w:szCs w:val="28"/>
          <w:lang w:val="en"/>
        </w:rPr>
        <w:t xml:space="preserve"> and make full use of the LMC Special Fund for Public Health to secure the final victory over the pandemic.</w:t>
      </w:r>
    </w:p>
    <w:p>
      <w:pPr>
        <w:widowControl w:val="0"/>
        <w:numPr>
          <w:ilvl w:val="0"/>
          <w:numId w:val="1"/>
        </w:numPr>
        <w:tabs>
          <w:tab w:val="left" w:pos="900"/>
        </w:tabs>
        <w:snapToGrid w:val="0"/>
        <w:spacing w:before="240" w:beforeLines="100"/>
        <w:ind w:firstLine="560" w:firstLineChars="200"/>
        <w:jc w:val="thaiDistribute"/>
        <w:rPr>
          <w:rFonts w:ascii="Times New Roman" w:hAnsi="Times New Roman"/>
          <w:sz w:val="28"/>
          <w:szCs w:val="28"/>
        </w:rPr>
      </w:pPr>
      <w:r>
        <w:rPr>
          <w:rFonts w:ascii="Times New Roman" w:hAnsi="Times New Roman"/>
          <w:sz w:val="28"/>
          <w:szCs w:val="28"/>
          <w:lang w:val="en"/>
        </w:rPr>
        <w:t>We agree on the vital importance of stronger water governance, including the water resources management of the Lancang-Mekong River and cooperation among riparian countries for sustainable economic and social development in the region. We acknowledge the fact that the six member countries are facing growing water resources challenges, including increasing demand for water resources as a result of industrialization, urbanization and population growth, and uncertainties brought by climate change, frequent occurrence of floods and droughts. In this context, national capacity and sub-regional institutions in water governance and the development of water infrastructure need to be enhanced</w:t>
      </w:r>
      <w:r>
        <w:rPr>
          <w:rFonts w:ascii="Times New Roman" w:hAnsi="Times New Roman"/>
          <w:sz w:val="28"/>
          <w:szCs w:val="28"/>
          <w:lang w:val="en" w:eastAsia="zh-CN"/>
        </w:rPr>
        <w:t xml:space="preserve"> to meet the demand</w:t>
      </w:r>
      <w:r>
        <w:rPr>
          <w:rFonts w:ascii="Times New Roman" w:hAnsi="Times New Roman"/>
          <w:sz w:val="28"/>
          <w:szCs w:val="28"/>
          <w:lang w:val="en"/>
        </w:rPr>
        <w:t xml:space="preserve">. </w:t>
      </w:r>
    </w:p>
    <w:p>
      <w:pPr>
        <w:snapToGrid w:val="0"/>
        <w:spacing w:before="240" w:beforeLines="100"/>
        <w:ind w:firstLine="560" w:firstLineChars="200"/>
        <w:jc w:val="thaiDistribute"/>
        <w:rPr>
          <w:rFonts w:ascii="Times New Roman" w:hAnsi="Times New Roman"/>
          <w:sz w:val="28"/>
          <w:szCs w:val="28"/>
          <w:lang w:val="en"/>
        </w:rPr>
      </w:pPr>
      <w:r>
        <w:rPr>
          <w:rFonts w:hint="eastAsia" w:ascii="Times New Roman" w:hAnsi="Times New Roman"/>
          <w:sz w:val="28"/>
          <w:szCs w:val="28"/>
          <w:lang w:eastAsia="zh-CN"/>
        </w:rPr>
        <w:t xml:space="preserve"> </w:t>
      </w:r>
      <w:r>
        <w:rPr>
          <w:rFonts w:ascii="Times New Roman" w:hAnsi="Times New Roman" w:cs="Times New Roman"/>
          <w:sz w:val="28"/>
          <w:szCs w:val="28"/>
          <w:lang w:eastAsia="zh-CN"/>
        </w:rPr>
        <w:t xml:space="preserve"> We </w:t>
      </w:r>
      <w:r>
        <w:rPr>
          <w:rFonts w:ascii="Times New Roman" w:hAnsi="Times New Roman"/>
          <w:sz w:val="28"/>
          <w:szCs w:val="28"/>
          <w:lang w:val="en"/>
        </w:rPr>
        <w:t xml:space="preserve">speak highly of the efforts made by the water authorities of the six member countries to actively strengthen the cooperation mechanism, steadily implement the </w:t>
      </w:r>
      <w:r>
        <w:rPr>
          <w:rFonts w:ascii="Times New Roman" w:hAnsi="Times New Roman"/>
          <w:i/>
          <w:iCs/>
          <w:sz w:val="28"/>
          <w:szCs w:val="28"/>
          <w:lang w:val="en"/>
        </w:rPr>
        <w:t>Five-Year Action Plan on Lancang-Mekong Water Resources Cooperation (2018 - 2022)</w:t>
      </w:r>
      <w:r>
        <w:rPr>
          <w:rFonts w:ascii="Times New Roman" w:hAnsi="Times New Roman"/>
          <w:sz w:val="28"/>
          <w:szCs w:val="28"/>
          <w:lang w:val="en"/>
        </w:rPr>
        <w:t xml:space="preserve">, and </w:t>
      </w:r>
      <w:r>
        <w:rPr>
          <w:rFonts w:ascii="Times New Roman" w:hAnsi="Times New Roman"/>
          <w:sz w:val="28"/>
          <w:szCs w:val="28"/>
        </w:rPr>
        <w:t>conduct</w:t>
      </w:r>
      <w:r>
        <w:rPr>
          <w:rFonts w:ascii="Times New Roman" w:hAnsi="Times New Roman"/>
          <w:sz w:val="28"/>
          <w:szCs w:val="28"/>
          <w:lang w:val="en"/>
        </w:rPr>
        <w:t xml:space="preserve"> extensive practical cooperation on basin planning, dam safety, comprehensive management of small basins</w:t>
      </w:r>
      <w:r>
        <w:rPr>
          <w:rFonts w:hint="eastAsia" w:ascii="Times New Roman" w:hAnsi="Times New Roman"/>
          <w:sz w:val="28"/>
          <w:szCs w:val="28"/>
          <w:lang w:val="en"/>
        </w:rPr>
        <w:t>,</w:t>
      </w:r>
      <w:r>
        <w:rPr>
          <w:rFonts w:ascii="Times New Roman" w:hAnsi="Times New Roman"/>
          <w:sz w:val="28"/>
          <w:szCs w:val="28"/>
          <w:lang w:val="en"/>
        </w:rPr>
        <w:t xml:space="preserve"> capacity building, emergency management and water-related risk and impact assessment.  We welcome the</w:t>
      </w:r>
      <w:r>
        <w:rPr>
          <w:rFonts w:ascii="Times New Roman" w:hAnsi="Times New Roman"/>
          <w:i/>
          <w:iCs/>
          <w:sz w:val="28"/>
          <w:szCs w:val="28"/>
          <w:lang w:val="en"/>
        </w:rPr>
        <w:t xml:space="preserve"> Memorandum of Understanding (MOU) under the Joint Working Group on Lancang-Mekong Water Resources Cooperation on the Provision of Hydrological Information of the Lancang River throughout the year by China to the Other Five Member Countries </w:t>
      </w:r>
      <w:r>
        <w:rPr>
          <w:rFonts w:ascii="Times New Roman" w:hAnsi="Times New Roman"/>
          <w:sz w:val="28"/>
          <w:szCs w:val="28"/>
          <w:lang w:val="en"/>
        </w:rPr>
        <w:t xml:space="preserve">signed by the six </w:t>
      </w:r>
      <w:r>
        <w:rPr>
          <w:rFonts w:hint="eastAsia" w:ascii="Times New Roman" w:hAnsi="Times New Roman"/>
          <w:sz w:val="28"/>
          <w:szCs w:val="28"/>
          <w:lang w:val="en" w:eastAsia="zh-CN"/>
        </w:rPr>
        <w:t>LM</w:t>
      </w:r>
      <w:r>
        <w:rPr>
          <w:rFonts w:ascii="Times New Roman" w:hAnsi="Times New Roman"/>
          <w:sz w:val="28"/>
          <w:szCs w:val="28"/>
          <w:lang w:val="en"/>
        </w:rPr>
        <w:t xml:space="preserve">C countries and the steady implementation of the MOU. In this regard, the Ministers of Mekong countries expressed appreciation to China for sharing the year-round hydrological information of the Lancang River, </w:t>
      </w:r>
      <w:r>
        <w:rPr>
          <w:rFonts w:ascii="Times New Roman" w:hAnsi="Times New Roman"/>
          <w:sz w:val="28"/>
          <w:szCs w:val="28"/>
        </w:rPr>
        <w:t>and</w:t>
      </w:r>
      <w:r>
        <w:rPr>
          <w:rFonts w:ascii="Times New Roman" w:hAnsi="Times New Roman"/>
          <w:sz w:val="28"/>
          <w:szCs w:val="28"/>
          <w:lang w:val="en"/>
        </w:rPr>
        <w:t xml:space="preserve"> increasing the discharge upon the requests of downstream countries. We</w:t>
      </w:r>
      <w:r>
        <w:rPr>
          <w:rFonts w:ascii="Times New Roman" w:hAnsi="Times New Roman"/>
          <w:sz w:val="28"/>
          <w:szCs w:val="28"/>
        </w:rPr>
        <w:t xml:space="preserve"> recognize water as a valuable natural resource on which peoples of the six member countries rely for their livelihood.</w:t>
      </w:r>
      <w:r>
        <w:rPr>
          <w:rFonts w:ascii="Times New Roman" w:hAnsi="Times New Roman"/>
          <w:sz w:val="28"/>
          <w:szCs w:val="28"/>
          <w:lang w:val="en"/>
        </w:rPr>
        <w:t xml:space="preserve"> We encourage all the six member countries to intensify their efforts and </w:t>
      </w:r>
      <w:r>
        <w:rPr>
          <w:rFonts w:ascii="Times New Roman" w:hAnsi="Times New Roman"/>
          <w:sz w:val="28"/>
          <w:szCs w:val="28"/>
        </w:rPr>
        <w:t>step up the coordination and collaboration</w:t>
      </w:r>
      <w:r>
        <w:rPr>
          <w:rFonts w:hint="eastAsia" w:ascii="Times New Roman" w:hAnsi="Times New Roman"/>
          <w:sz w:val="28"/>
          <w:szCs w:val="28"/>
          <w:lang w:eastAsia="zh-CN"/>
        </w:rPr>
        <w:t xml:space="preserve"> </w:t>
      </w:r>
      <w:r>
        <w:rPr>
          <w:rFonts w:ascii="Times New Roman" w:hAnsi="Times New Roman"/>
          <w:sz w:val="28"/>
          <w:szCs w:val="28"/>
        </w:rPr>
        <w:t>at drainage basin leve</w:t>
      </w:r>
      <w:r>
        <w:rPr>
          <w:rFonts w:ascii="Times New Roman" w:hAnsi="Times New Roman"/>
          <w:sz w:val="28"/>
          <w:szCs w:val="28"/>
          <w:lang w:val="en"/>
        </w:rPr>
        <w:t>l to address water-related issues of common concern, such as to improv</w:t>
      </w:r>
      <w:r>
        <w:rPr>
          <w:rFonts w:ascii="Times New Roman" w:hAnsi="Times New Roman"/>
          <w:sz w:val="28"/>
          <w:szCs w:val="28"/>
        </w:rPr>
        <w:t>e</w:t>
      </w:r>
      <w:r>
        <w:rPr>
          <w:rFonts w:ascii="Times New Roman" w:hAnsi="Times New Roman"/>
          <w:sz w:val="28"/>
          <w:szCs w:val="28"/>
          <w:lang w:val="en"/>
        </w:rPr>
        <w:t xml:space="preserve"> conditions for local water supply, protect the ecosystem of the Lancang-Mekong River, address the adverse impacts of floods and droughts, and other extreme weather events caused by climate change</w:t>
      </w:r>
      <w:r>
        <w:rPr>
          <w:rFonts w:ascii="Times New Roman" w:hAnsi="Times New Roman"/>
          <w:sz w:val="28"/>
          <w:szCs w:val="28"/>
        </w:rPr>
        <w:t>.</w:t>
      </w:r>
    </w:p>
    <w:p>
      <w:pPr>
        <w:snapToGrid w:val="0"/>
        <w:spacing w:before="240" w:beforeLines="100"/>
        <w:ind w:firstLine="560" w:firstLineChars="200"/>
        <w:jc w:val="thaiDistribute"/>
        <w:rPr>
          <w:rFonts w:ascii="Times New Roman" w:hAnsi="Times New Roman"/>
          <w:sz w:val="28"/>
          <w:szCs w:val="28"/>
          <w:lang w:val="en"/>
        </w:rPr>
      </w:pPr>
      <w:r>
        <w:rPr>
          <w:rFonts w:ascii="Times New Roman" w:hAnsi="Times New Roman"/>
          <w:sz w:val="28"/>
          <w:szCs w:val="28"/>
          <w:lang w:val="en"/>
        </w:rPr>
        <w:t>We highly appreciate the broad consensus on future cooperation reached among the water authorities of the six member countries, including supporting China for convening the Second Lancang</w:t>
      </w:r>
      <w:r>
        <w:rPr>
          <w:rFonts w:hint="eastAsia" w:ascii="Times New Roman" w:hAnsi="Times New Roman"/>
          <w:sz w:val="28"/>
          <w:szCs w:val="28"/>
          <w:lang w:eastAsia="zh-CN"/>
        </w:rPr>
        <w:t>-</w:t>
      </w:r>
      <w:r>
        <w:rPr>
          <w:rFonts w:ascii="Times New Roman" w:hAnsi="Times New Roman"/>
          <w:sz w:val="28"/>
          <w:szCs w:val="28"/>
          <w:lang w:val="en"/>
        </w:rPr>
        <w:t>Mekong Water Resources Cooperation Forum and Viet Nam for convening the Second Ministerial Meeting on Lancang</w:t>
      </w:r>
      <w:r>
        <w:rPr>
          <w:rFonts w:hint="eastAsia" w:ascii="Times New Roman" w:hAnsi="Times New Roman"/>
          <w:sz w:val="28"/>
          <w:szCs w:val="28"/>
          <w:lang w:eastAsia="zh-CN"/>
        </w:rPr>
        <w:t>-</w:t>
      </w:r>
      <w:r>
        <w:rPr>
          <w:rFonts w:ascii="Times New Roman" w:hAnsi="Times New Roman"/>
          <w:sz w:val="28"/>
          <w:szCs w:val="28"/>
          <w:lang w:val="en"/>
        </w:rPr>
        <w:t>Mekong Water Resources Cooperation, strengthening pragmatic cooperation on flood and drought disaster mitigation, clean drinking water and sanitation services, hydrological information monitoring and alignment of technical standards, fully promoting the building of the Lancang</w:t>
      </w:r>
      <w:r>
        <w:rPr>
          <w:rFonts w:hint="eastAsia" w:ascii="Times New Roman" w:hAnsi="Times New Roman"/>
          <w:sz w:val="28"/>
          <w:szCs w:val="28"/>
          <w:lang w:eastAsia="zh-CN"/>
        </w:rPr>
        <w:t>-</w:t>
      </w:r>
      <w:r>
        <w:rPr>
          <w:rFonts w:ascii="Times New Roman" w:hAnsi="Times New Roman"/>
          <w:sz w:val="28"/>
          <w:szCs w:val="28"/>
          <w:lang w:val="en"/>
        </w:rPr>
        <w:t xml:space="preserve">Mekong Water Resources Cooperation Information Sharing Platform through an appropriate mechanism, and </w:t>
      </w:r>
      <w:r>
        <w:rPr>
          <w:rFonts w:ascii="Times New Roman" w:hAnsi="Times New Roman"/>
          <w:sz w:val="28"/>
          <w:szCs w:val="28"/>
        </w:rPr>
        <w:t>enhanc</w:t>
      </w:r>
      <w:r>
        <w:rPr>
          <w:rFonts w:ascii="Times New Roman" w:hAnsi="Times New Roman"/>
          <w:sz w:val="28"/>
          <w:szCs w:val="28"/>
          <w:lang w:val="en"/>
        </w:rPr>
        <w:t xml:space="preserve">ing the capacity of member countries in sustainable water resources development and management. </w:t>
      </w:r>
    </w:p>
    <w:p>
      <w:pPr>
        <w:widowControl w:val="0"/>
        <w:tabs>
          <w:tab w:val="left" w:pos="900"/>
        </w:tabs>
        <w:snapToGrid w:val="0"/>
        <w:spacing w:before="240" w:beforeLines="100"/>
        <w:ind w:firstLine="280"/>
        <w:jc w:val="thaiDistribute"/>
        <w:rPr>
          <w:rFonts w:ascii="Times New Roman" w:hAnsi="Times New Roman"/>
          <w:sz w:val="28"/>
          <w:szCs w:val="28"/>
          <w:lang w:val="en"/>
        </w:rPr>
      </w:pPr>
      <w:r>
        <w:rPr>
          <w:rFonts w:ascii="Times New Roman" w:hAnsi="Times New Roman"/>
          <w:sz w:val="28"/>
          <w:szCs w:val="28"/>
          <w:lang w:val="en"/>
        </w:rPr>
        <w:t xml:space="preserve">    We support the Joint Study on the changing Pattern of Hydrological Conditions of the Lancang-Mekong River Basin and Adaption Strategies by the Lancang-Mekong Water Resources Cooperation Center and Mekong River Committee Secretariat, </w:t>
      </w:r>
      <w:r>
        <w:rPr>
          <w:rFonts w:ascii="Times New Roman" w:hAnsi="Times New Roman"/>
          <w:sz w:val="28"/>
          <w:szCs w:val="28"/>
        </w:rPr>
        <w:t>which</w:t>
      </w:r>
      <w:r>
        <w:rPr>
          <w:rFonts w:ascii="Times New Roman" w:hAnsi="Times New Roman"/>
          <w:sz w:val="28"/>
          <w:szCs w:val="28"/>
          <w:lang w:val="en"/>
        </w:rPr>
        <w:t xml:space="preserve"> will put</w:t>
      </w:r>
      <w:r>
        <w:rPr>
          <w:rFonts w:ascii="Times New Roman" w:hAnsi="Times New Roman"/>
          <w:sz w:val="28"/>
          <w:szCs w:val="28"/>
        </w:rPr>
        <w:t xml:space="preserve"> forward</w:t>
      </w:r>
      <w:r>
        <w:rPr>
          <w:rFonts w:ascii="Times New Roman" w:hAnsi="Times New Roman"/>
          <w:sz w:val="28"/>
          <w:szCs w:val="28"/>
          <w:lang w:val="en"/>
        </w:rPr>
        <w:t xml:space="preserve"> engineering and non-engineering measures to </w:t>
      </w:r>
      <w:r>
        <w:rPr>
          <w:rFonts w:ascii="Times New Roman" w:hAnsi="Times New Roman"/>
          <w:sz w:val="28"/>
          <w:szCs w:val="28"/>
        </w:rPr>
        <w:t>tackle</w:t>
      </w:r>
      <w:r>
        <w:rPr>
          <w:rFonts w:ascii="Times New Roman" w:hAnsi="Times New Roman"/>
          <w:sz w:val="28"/>
          <w:szCs w:val="28"/>
          <w:lang w:val="en"/>
        </w:rPr>
        <w:t xml:space="preserve"> climate change.</w:t>
      </w:r>
    </w:p>
    <w:p>
      <w:pPr>
        <w:snapToGrid w:val="0"/>
        <w:spacing w:before="240" w:beforeLines="100"/>
        <w:ind w:firstLine="560" w:firstLineChars="200"/>
        <w:jc w:val="thaiDistribute"/>
        <w:rPr>
          <w:rFonts w:ascii="Times New Roman" w:hAnsi="Times New Roman"/>
          <w:sz w:val="28"/>
          <w:szCs w:val="28"/>
        </w:rPr>
      </w:pPr>
      <w:r>
        <w:rPr>
          <w:rFonts w:ascii="Times New Roman" w:hAnsi="Times New Roman"/>
          <w:sz w:val="28"/>
          <w:szCs w:val="28"/>
          <w:lang w:val="en"/>
        </w:rPr>
        <w:t xml:space="preserve">3. We </w:t>
      </w:r>
      <w:r>
        <w:rPr>
          <w:rFonts w:ascii="Times New Roman" w:hAnsi="Times New Roman"/>
          <w:sz w:val="28"/>
          <w:szCs w:val="28"/>
        </w:rPr>
        <w:t>commend</w:t>
      </w:r>
      <w:r>
        <w:rPr>
          <w:rFonts w:ascii="Times New Roman" w:hAnsi="Times New Roman"/>
          <w:sz w:val="28"/>
          <w:szCs w:val="28"/>
          <w:lang w:val="en"/>
        </w:rPr>
        <w:t xml:space="preserve"> the progress made in the Lancang-Mekong environmental protection cooperation, including strengthening cooperation and knowledge sharing on clean and renewable energy, joint efforts in promoting green and low carbon transition, and enhancing capabilities to address climate change. We agree to accelerate the implementation of the </w:t>
      </w:r>
      <w:r>
        <w:rPr>
          <w:rFonts w:ascii="Times New Roman" w:hAnsi="Times New Roman"/>
          <w:i/>
          <w:iCs/>
          <w:sz w:val="28"/>
          <w:szCs w:val="28"/>
          <w:lang w:val="en"/>
        </w:rPr>
        <w:t>Lancang-Mekong Environmental Cooperation Strategy</w:t>
      </w:r>
      <w:r>
        <w:rPr>
          <w:rFonts w:ascii="Times New Roman" w:hAnsi="Times New Roman"/>
          <w:sz w:val="28"/>
          <w:szCs w:val="28"/>
          <w:lang w:val="en"/>
        </w:rPr>
        <w:t xml:space="preserve"> and the Green Lancang-Mekong Initiative, </w:t>
      </w:r>
      <w:r>
        <w:rPr>
          <w:rFonts w:ascii="Times New Roman" w:hAnsi="Times New Roman"/>
          <w:sz w:val="28"/>
          <w:szCs w:val="28"/>
        </w:rPr>
        <w:t xml:space="preserve">make </w:t>
      </w:r>
      <w:r>
        <w:rPr>
          <w:rFonts w:ascii="Times New Roman" w:hAnsi="Times New Roman"/>
          <w:sz w:val="28"/>
          <w:szCs w:val="28"/>
          <w:lang w:val="en"/>
        </w:rPr>
        <w:t xml:space="preserve">full </w:t>
      </w:r>
      <w:r>
        <w:rPr>
          <w:rFonts w:ascii="Times New Roman" w:hAnsi="Times New Roman"/>
          <w:sz w:val="28"/>
          <w:szCs w:val="28"/>
        </w:rPr>
        <w:t>use of the</w:t>
      </w:r>
      <w:r>
        <w:rPr>
          <w:rFonts w:ascii="Times New Roman" w:hAnsi="Times New Roman"/>
          <w:sz w:val="28"/>
          <w:szCs w:val="28"/>
          <w:lang w:val="en"/>
        </w:rPr>
        <w:t xml:space="preserve"> Lancang-Mekong Environmental Cooperation Center</w:t>
      </w:r>
      <w:r>
        <w:rPr>
          <w:rFonts w:ascii="Times New Roman" w:hAnsi="Times New Roman"/>
          <w:sz w:val="28"/>
          <w:szCs w:val="28"/>
        </w:rPr>
        <w:t>,</w:t>
      </w:r>
      <w:r>
        <w:rPr>
          <w:rFonts w:ascii="Times New Roman" w:hAnsi="Times New Roman"/>
          <w:sz w:val="28"/>
          <w:szCs w:val="28"/>
          <w:lang w:val="en"/>
        </w:rPr>
        <w:t xml:space="preserve"> s</w:t>
      </w:r>
      <w:r>
        <w:rPr>
          <w:rFonts w:ascii="Times New Roman" w:hAnsi="Times New Roman"/>
          <w:sz w:val="28"/>
          <w:szCs w:val="28"/>
        </w:rPr>
        <w:t>trengthen environmental policy exch</w:t>
      </w:r>
      <w:r>
        <w:rPr>
          <w:rFonts w:ascii="Times New Roman" w:hAnsi="Times New Roman"/>
          <w:sz w:val="28"/>
          <w:szCs w:val="28"/>
          <w:lang w:val="en"/>
        </w:rPr>
        <w:t xml:space="preserve">anges and dialogue, </w:t>
      </w:r>
      <w:r>
        <w:rPr>
          <w:rFonts w:ascii="Times New Roman" w:hAnsi="Times New Roman"/>
          <w:sz w:val="28"/>
          <w:szCs w:val="28"/>
        </w:rPr>
        <w:t xml:space="preserve">and </w:t>
      </w:r>
      <w:r>
        <w:rPr>
          <w:rFonts w:ascii="Times New Roman" w:hAnsi="Times New Roman"/>
          <w:sz w:val="28"/>
          <w:szCs w:val="28"/>
          <w:lang w:val="en"/>
        </w:rPr>
        <w:t xml:space="preserve">enhance cooperation on </w:t>
      </w:r>
      <w:r>
        <w:rPr>
          <w:rFonts w:ascii="Times New Roman" w:hAnsi="Times New Roman"/>
          <w:sz w:val="28"/>
          <w:szCs w:val="28"/>
        </w:rPr>
        <w:t>biodiversity conservation</w:t>
      </w:r>
      <w:r>
        <w:rPr>
          <w:rFonts w:ascii="Times New Roman" w:hAnsi="Times New Roman"/>
          <w:sz w:val="28"/>
          <w:szCs w:val="28"/>
          <w:lang w:val="en"/>
        </w:rPr>
        <w:t xml:space="preserve">, air quality, clean water pilot programs, and </w:t>
      </w:r>
      <w:r>
        <w:rPr>
          <w:rFonts w:ascii="Times New Roman" w:hAnsi="Times New Roman"/>
          <w:sz w:val="28"/>
          <w:szCs w:val="28"/>
        </w:rPr>
        <w:t xml:space="preserve">sustainable infrastructure. Efforts </w:t>
      </w:r>
      <w:r>
        <w:rPr>
          <w:rFonts w:ascii="Times New Roman" w:hAnsi="Times New Roman"/>
          <w:sz w:val="28"/>
          <w:szCs w:val="28"/>
          <w:lang w:val="en"/>
        </w:rPr>
        <w:t>will be made to jointly develop the Lancang</w:t>
      </w:r>
      <w:r>
        <w:rPr>
          <w:rFonts w:hint="eastAsia" w:ascii="Times New Roman" w:hAnsi="Times New Roman"/>
          <w:sz w:val="28"/>
          <w:szCs w:val="28"/>
          <w:lang w:eastAsia="zh-CN"/>
        </w:rPr>
        <w:t>-</w:t>
      </w:r>
      <w:r>
        <w:rPr>
          <w:rFonts w:ascii="Times New Roman" w:hAnsi="Times New Roman"/>
          <w:sz w:val="28"/>
          <w:szCs w:val="28"/>
          <w:lang w:val="en"/>
        </w:rPr>
        <w:t xml:space="preserve">Mekong Knowledge Hub for Low-Carbon, Green, and Sustainable Infrastructure, carry out demonstration projects of sustainable and low-carbon communities and schools, promote nature-based solution through building a mangrove protection network and enhance knowledge sharing and cooperation on climate adaptation. </w:t>
      </w:r>
    </w:p>
    <w:p>
      <w:pPr>
        <w:snapToGrid w:val="0"/>
        <w:spacing w:before="240" w:beforeLines="100"/>
        <w:jc w:val="thaiDistribute"/>
        <w:rPr>
          <w:rFonts w:ascii="Times New Roman" w:hAnsi="Times New Roman"/>
          <w:sz w:val="28"/>
          <w:szCs w:val="28"/>
          <w:lang w:val="en"/>
        </w:rPr>
      </w:pPr>
      <w:r>
        <w:rPr>
          <w:rFonts w:ascii="Times New Roman" w:hAnsi="Times New Roman"/>
          <w:sz w:val="28"/>
          <w:szCs w:val="28"/>
          <w:lang w:val="en"/>
        </w:rPr>
        <w:t xml:space="preserve">       4. We also emphasize the need for the six member countries to work closely together to promote economic growth models that are environmentally friendly and innovation-driven in order to help the region to build back better, greener and smarter in the post-COVID</w:t>
      </w:r>
      <w:r>
        <w:rPr>
          <w:rFonts w:ascii="Times New Roman" w:hAnsi="Times New Roman"/>
          <w:sz w:val="28"/>
          <w:szCs w:val="28"/>
        </w:rPr>
        <w:t>-19</w:t>
      </w:r>
      <w:r>
        <w:rPr>
          <w:rFonts w:hint="cs" w:ascii="Times New Roman" w:hAnsi="Times New Roman"/>
          <w:sz w:val="28"/>
          <w:szCs w:val="28"/>
          <w:cs/>
          <w:lang w:val="en"/>
        </w:rPr>
        <w:t xml:space="preserve"> </w:t>
      </w:r>
      <w:r>
        <w:rPr>
          <w:rFonts w:ascii="Times New Roman" w:hAnsi="Times New Roman"/>
          <w:sz w:val="28"/>
          <w:szCs w:val="28"/>
          <w:lang w:val="en"/>
        </w:rPr>
        <w:t>era. To this end, more efforts should be made to bring about actions/measures on Bio-Circular-Green Economy (BCG) and promote innovation such as exploring the idea of innovation corridors, which are networks of R&amp;D hubs to support economic and industrial zones in the border areas of the Lancang-Mekong region.</w:t>
      </w:r>
    </w:p>
    <w:p>
      <w:pPr>
        <w:snapToGrid w:val="0"/>
        <w:spacing w:before="240" w:beforeLines="100"/>
        <w:ind w:firstLine="560" w:firstLineChars="200"/>
        <w:jc w:val="thaiDistribute"/>
        <w:rPr>
          <w:rFonts w:ascii="Times New Roman" w:hAnsi="Times New Roman"/>
          <w:sz w:val="28"/>
          <w:szCs w:val="28"/>
        </w:rPr>
      </w:pPr>
      <w:r>
        <w:rPr>
          <w:rFonts w:ascii="Times New Roman" w:hAnsi="Times New Roman"/>
          <w:sz w:val="28"/>
          <w:szCs w:val="28"/>
          <w:lang w:val="en"/>
        </w:rPr>
        <w:t>5. W</w:t>
      </w:r>
      <w:r>
        <w:rPr>
          <w:rFonts w:ascii="Times New Roman" w:hAnsi="Times New Roman"/>
          <w:sz w:val="28"/>
          <w:szCs w:val="28"/>
        </w:rPr>
        <w:t xml:space="preserve">e encourage cooperation in the management and protection of forest resources, bolster exchanges and cooperation on the conservation of precious tree species and wildlife, legal forestry trade, forest </w:t>
      </w:r>
      <w:r>
        <w:rPr>
          <w:rFonts w:ascii="Times New Roman" w:hAnsi="Times New Roman"/>
          <w:sz w:val="28"/>
          <w:szCs w:val="28"/>
          <w:lang w:val="en"/>
        </w:rPr>
        <w:t>ecological restoration and research, promote and develop community based forest products, enhance local livelihood through agroforestry, and joint forest fire prev</w:t>
      </w:r>
      <w:r>
        <w:rPr>
          <w:rFonts w:ascii="Times New Roman" w:hAnsi="Times New Roman"/>
          <w:sz w:val="28"/>
          <w:szCs w:val="28"/>
        </w:rPr>
        <w:t>ention in border areas, prevent</w:t>
      </w:r>
      <w:r>
        <w:rPr>
          <w:rFonts w:hint="eastAsia" w:ascii="Times New Roman" w:hAnsi="Times New Roman"/>
          <w:sz w:val="28"/>
          <w:szCs w:val="28"/>
          <w:lang w:eastAsia="zh-CN"/>
        </w:rPr>
        <w:t xml:space="preserve"> </w:t>
      </w:r>
      <w:r>
        <w:rPr>
          <w:rFonts w:ascii="Times New Roman" w:hAnsi="Times New Roman"/>
          <w:sz w:val="28"/>
          <w:szCs w:val="28"/>
        </w:rPr>
        <w:t xml:space="preserve">haze pollution, and work together to combat illegal logging and wildlife trafficking in an effort to </w:t>
      </w:r>
      <w:r>
        <w:rPr>
          <w:rFonts w:ascii="Times New Roman" w:hAnsi="Times New Roman"/>
          <w:sz w:val="28"/>
          <w:szCs w:val="28"/>
          <w:lang w:val="en"/>
        </w:rPr>
        <w:t>enhance</w:t>
      </w:r>
      <w:r>
        <w:rPr>
          <w:rFonts w:ascii="Times New Roman" w:hAnsi="Times New Roman"/>
          <w:sz w:val="28"/>
          <w:szCs w:val="28"/>
        </w:rPr>
        <w:t xml:space="preserve"> forestry management capacity of</w:t>
      </w:r>
      <w:r>
        <w:rPr>
          <w:rFonts w:ascii="Times New Roman" w:hAnsi="Times New Roman"/>
          <w:sz w:val="28"/>
          <w:szCs w:val="28"/>
          <w:lang w:val="en"/>
        </w:rPr>
        <w:t xml:space="preserve"> the </w:t>
      </w:r>
      <w:r>
        <w:rPr>
          <w:rFonts w:ascii="Times New Roman" w:hAnsi="Times New Roman"/>
          <w:sz w:val="28"/>
          <w:szCs w:val="28"/>
        </w:rPr>
        <w:t>Lancang</w:t>
      </w:r>
      <w:r>
        <w:rPr>
          <w:rFonts w:ascii="Times New Roman" w:hAnsi="Times New Roman"/>
          <w:sz w:val="28"/>
          <w:szCs w:val="28"/>
          <w:lang w:val="en"/>
        </w:rPr>
        <w:t>-</w:t>
      </w:r>
      <w:r>
        <w:rPr>
          <w:rFonts w:ascii="Times New Roman" w:hAnsi="Times New Roman"/>
          <w:sz w:val="28"/>
          <w:szCs w:val="28"/>
        </w:rPr>
        <w:t>Mekong countries.</w:t>
      </w:r>
    </w:p>
    <w:p>
      <w:pPr>
        <w:snapToGrid w:val="0"/>
        <w:spacing w:before="240" w:beforeLines="100"/>
        <w:ind w:firstLine="560" w:firstLineChars="200"/>
        <w:jc w:val="thaiDistribute"/>
        <w:rPr>
          <w:rFonts w:ascii="Times New Roman" w:hAnsi="Times New Roman"/>
          <w:sz w:val="28"/>
          <w:szCs w:val="28"/>
          <w:u w:val="single"/>
          <w:lang w:val="en"/>
        </w:rPr>
      </w:pPr>
      <w:r>
        <w:rPr>
          <w:rFonts w:ascii="Times New Roman" w:hAnsi="Times New Roman"/>
          <w:sz w:val="28"/>
          <w:szCs w:val="28"/>
          <w:lang w:val="en"/>
        </w:rPr>
        <w:t>6. We take note of t</w:t>
      </w:r>
      <w:r>
        <w:rPr>
          <w:rFonts w:ascii="Times New Roman" w:hAnsi="Times New Roman"/>
          <w:sz w:val="28"/>
          <w:szCs w:val="28"/>
        </w:rPr>
        <w:t xml:space="preserve">he </w:t>
      </w:r>
      <w:r>
        <w:rPr>
          <w:rFonts w:ascii="Times New Roman" w:hAnsi="Times New Roman"/>
          <w:i/>
          <w:iCs/>
          <w:sz w:val="28"/>
          <w:szCs w:val="28"/>
        </w:rPr>
        <w:t>Joint Research Report on Promoting Synergy between Lancang</w:t>
      </w:r>
      <w:r>
        <w:rPr>
          <w:rFonts w:ascii="Times New Roman" w:hAnsi="Times New Roman"/>
          <w:i/>
          <w:iCs/>
          <w:sz w:val="28"/>
          <w:szCs w:val="28"/>
          <w:lang w:val="en"/>
        </w:rPr>
        <w:t>-</w:t>
      </w:r>
      <w:r>
        <w:rPr>
          <w:rFonts w:ascii="Times New Roman" w:hAnsi="Times New Roman"/>
          <w:i/>
          <w:iCs/>
          <w:sz w:val="28"/>
          <w:szCs w:val="28"/>
        </w:rPr>
        <w:t>Mekong Economic Development Belt and the New International Land</w:t>
      </w:r>
      <w:r>
        <w:rPr>
          <w:rFonts w:ascii="Times New Roman" w:hAnsi="Times New Roman"/>
          <w:i/>
          <w:iCs/>
          <w:sz w:val="28"/>
          <w:szCs w:val="28"/>
          <w:lang w:val="en"/>
        </w:rPr>
        <w:t>-</w:t>
      </w:r>
      <w:r>
        <w:rPr>
          <w:rFonts w:ascii="Times New Roman" w:hAnsi="Times New Roman"/>
          <w:i/>
          <w:iCs/>
          <w:sz w:val="28"/>
          <w:szCs w:val="28"/>
        </w:rPr>
        <w:t>Sea Trade Corridor</w:t>
      </w:r>
      <w:r>
        <w:rPr>
          <w:rFonts w:ascii="Times New Roman" w:hAnsi="Times New Roman"/>
          <w:sz w:val="28"/>
          <w:szCs w:val="28"/>
        </w:rPr>
        <w:t xml:space="preserve"> by the Global Center for Mekong Studies </w:t>
      </w:r>
      <w:r>
        <w:rPr>
          <w:rFonts w:ascii="Times New Roman" w:hAnsi="Times New Roman"/>
          <w:sz w:val="28"/>
          <w:szCs w:val="28"/>
          <w:lang w:eastAsia="zh-CN"/>
        </w:rPr>
        <w:t xml:space="preserve">as well as </w:t>
      </w:r>
      <w:r>
        <w:rPr>
          <w:rFonts w:ascii="Times New Roman" w:hAnsi="Times New Roman"/>
          <w:sz w:val="28"/>
          <w:szCs w:val="28"/>
          <w:lang w:val="en"/>
        </w:rPr>
        <w:t>China’s recommendations and measures in promoting the synergy. Relevant authorities of the six member countries are encouraged to carry out discussions on their suggestions and measures to enhance connectiv</w:t>
      </w:r>
      <w:r>
        <w:rPr>
          <w:rFonts w:ascii="Times New Roman" w:hAnsi="Times New Roman"/>
          <w:sz w:val="28"/>
          <w:szCs w:val="28"/>
        </w:rPr>
        <w:t>ity, trade, investment</w:t>
      </w:r>
      <w:r>
        <w:rPr>
          <w:rFonts w:ascii="Times New Roman" w:hAnsi="Times New Roman"/>
          <w:sz w:val="28"/>
          <w:szCs w:val="28"/>
          <w:lang w:val="en"/>
        </w:rPr>
        <w:t xml:space="preserve">, e-commerce and </w:t>
      </w:r>
      <w:r>
        <w:rPr>
          <w:rFonts w:ascii="Times New Roman" w:hAnsi="Times New Roman"/>
          <w:sz w:val="28"/>
          <w:szCs w:val="28"/>
        </w:rPr>
        <w:t>production capacity cooperation, accelerate digital transformation and scientific</w:t>
      </w:r>
      <w:r>
        <w:rPr>
          <w:rFonts w:ascii="Times New Roman" w:hAnsi="Times New Roman"/>
          <w:sz w:val="28"/>
          <w:szCs w:val="28"/>
          <w:lang w:val="en"/>
        </w:rPr>
        <w:t xml:space="preserve"> and technological</w:t>
      </w:r>
      <w:r>
        <w:rPr>
          <w:rFonts w:ascii="Times New Roman" w:hAnsi="Times New Roman"/>
          <w:sz w:val="28"/>
          <w:szCs w:val="28"/>
        </w:rPr>
        <w:t xml:space="preserve"> innovation, and jointly build the Lancang</w:t>
      </w:r>
      <w:r>
        <w:rPr>
          <w:rFonts w:ascii="Times New Roman" w:hAnsi="Times New Roman"/>
          <w:sz w:val="28"/>
          <w:szCs w:val="28"/>
          <w:lang w:val="en"/>
        </w:rPr>
        <w:t>-</w:t>
      </w:r>
      <w:r>
        <w:rPr>
          <w:rFonts w:ascii="Times New Roman" w:hAnsi="Times New Roman"/>
          <w:sz w:val="28"/>
          <w:szCs w:val="28"/>
        </w:rPr>
        <w:t>Mekong Economic Development Belt.</w:t>
      </w:r>
    </w:p>
    <w:p>
      <w:pPr>
        <w:snapToGrid w:val="0"/>
        <w:spacing w:before="240" w:beforeLines="100"/>
        <w:ind w:firstLine="560" w:firstLineChars="200"/>
        <w:jc w:val="thaiDistribute"/>
        <w:rPr>
          <w:rFonts w:ascii="Times New Roman" w:hAnsi="Times New Roman"/>
          <w:sz w:val="28"/>
          <w:szCs w:val="28"/>
          <w:lang w:val="en"/>
        </w:rPr>
      </w:pPr>
      <w:r>
        <w:rPr>
          <w:rFonts w:ascii="Times New Roman" w:hAnsi="Times New Roman"/>
          <w:sz w:val="28"/>
          <w:szCs w:val="28"/>
          <w:lang w:val="en"/>
        </w:rPr>
        <w:t xml:space="preserve">We encourage relevant agencies of the six member countries to undertake further studies to formulate detailed plans to build the Lancang-Mekong Economic Development Belt while promoting the </w:t>
      </w:r>
      <w:r>
        <w:rPr>
          <w:rFonts w:ascii="Times New Roman" w:hAnsi="Times New Roman"/>
          <w:sz w:val="28"/>
          <w:szCs w:val="28"/>
        </w:rPr>
        <w:t>synergy with the New International Land</w:t>
      </w:r>
      <w:r>
        <w:rPr>
          <w:rFonts w:ascii="Times New Roman" w:hAnsi="Times New Roman"/>
          <w:sz w:val="28"/>
          <w:szCs w:val="28"/>
          <w:lang w:val="en"/>
        </w:rPr>
        <w:t>-</w:t>
      </w:r>
      <w:r>
        <w:rPr>
          <w:rFonts w:ascii="Times New Roman" w:hAnsi="Times New Roman"/>
          <w:sz w:val="28"/>
          <w:szCs w:val="28"/>
        </w:rPr>
        <w:t>Sea Trade Corridor</w:t>
      </w:r>
      <w:r>
        <w:rPr>
          <w:rFonts w:ascii="Times New Roman" w:hAnsi="Times New Roman"/>
          <w:sz w:val="28"/>
          <w:szCs w:val="28"/>
          <w:lang w:val="en"/>
        </w:rPr>
        <w:t>, which would enhance further connectivity between China and Southeast Asia through, in particular, the East-West Economic Corridor, North-South Economic Corridor and Southern Economic Corridor.</w:t>
      </w:r>
    </w:p>
    <w:p>
      <w:pPr>
        <w:snapToGrid w:val="0"/>
        <w:spacing w:before="240" w:beforeLines="100"/>
        <w:ind w:firstLine="560" w:firstLineChars="200"/>
        <w:jc w:val="thaiDistribute"/>
        <w:rPr>
          <w:rFonts w:ascii="Times New Roman" w:hAnsi="Times New Roman"/>
          <w:sz w:val="28"/>
          <w:szCs w:val="28"/>
          <w:lang w:val="en"/>
        </w:rPr>
      </w:pPr>
      <w:r>
        <w:rPr>
          <w:rFonts w:hint="eastAsia" w:ascii="Times New Roman" w:hAnsi="Times New Roman"/>
          <w:sz w:val="28"/>
          <w:szCs w:val="28"/>
          <w:lang w:eastAsia="zh-CN"/>
        </w:rPr>
        <w:t>7</w:t>
      </w:r>
      <w:r>
        <w:rPr>
          <w:rFonts w:ascii="Times New Roman" w:hAnsi="Times New Roman"/>
          <w:sz w:val="28"/>
          <w:szCs w:val="28"/>
          <w:lang w:val="en"/>
        </w:rPr>
        <w:t>. We recall the ASEAN-China Aviation Cooperation Framework, and reaffirm our commitment towards deepening aviation cooperation fields</w:t>
      </w:r>
      <w:r>
        <w:rPr>
          <w:rFonts w:hint="cs" w:ascii="Times New Roman" w:hAnsi="Times New Roman"/>
          <w:sz w:val="28"/>
          <w:szCs w:val="28"/>
          <w:cs/>
          <w:lang w:val="en"/>
        </w:rPr>
        <w:t>​</w:t>
      </w:r>
      <w:r>
        <w:rPr>
          <w:rFonts w:ascii="Times New Roman" w:hAnsi="Times New Roman"/>
          <w:sz w:val="28"/>
          <w:szCs w:val="28"/>
          <w:lang w:val="en"/>
        </w:rPr>
        <w:t xml:space="preserve"> through strengthening exchanges and communication. Efforts will also be made to enhance sustainable transport action and measures in LMC for, in the long run, achieving universally accessible, safe, affordable, clean and low-carbon passenger and freight transport.</w:t>
      </w:r>
    </w:p>
    <w:p>
      <w:pPr>
        <w:snapToGrid w:val="0"/>
        <w:spacing w:before="240" w:beforeLines="100"/>
        <w:ind w:firstLine="560" w:firstLineChars="200"/>
        <w:jc w:val="thaiDistribute"/>
        <w:rPr>
          <w:rFonts w:ascii="Times New Roman" w:hAnsi="Times New Roman"/>
          <w:sz w:val="28"/>
          <w:szCs w:val="28"/>
          <w:lang w:val="en"/>
        </w:rPr>
      </w:pPr>
      <w:r>
        <w:rPr>
          <w:rFonts w:hint="eastAsia" w:ascii="Times New Roman" w:hAnsi="Times New Roman"/>
          <w:sz w:val="28"/>
          <w:szCs w:val="28"/>
          <w:lang w:eastAsia="zh-CN"/>
        </w:rPr>
        <w:t>8</w:t>
      </w:r>
      <w:r>
        <w:rPr>
          <w:rFonts w:ascii="Times New Roman" w:hAnsi="Times New Roman"/>
          <w:sz w:val="28"/>
          <w:szCs w:val="28"/>
          <w:lang w:val="en"/>
        </w:rPr>
        <w:t>. We reaffirm the LMC’s commitment to deepening cooperation in agriculture, poverty reduction, rural development, tourism, sports, media</w:t>
      </w:r>
      <w:r>
        <w:rPr>
          <w:rFonts w:hint="eastAsia" w:ascii="Times New Roman" w:hAnsi="Times New Roman"/>
          <w:sz w:val="28"/>
          <w:szCs w:val="28"/>
          <w:lang w:val="en"/>
        </w:rPr>
        <w:t>,</w:t>
      </w:r>
      <w:r>
        <w:rPr>
          <w:rFonts w:ascii="Times New Roman" w:hAnsi="Times New Roman"/>
          <w:sz w:val="28"/>
          <w:szCs w:val="28"/>
          <w:lang w:val="en"/>
        </w:rPr>
        <w:t xml:space="preserve"> gender equality, women, youth, and the disabled to deliver more benefits to the people. Cooperation in education and human resources will be enhanced to help the Lancang-Mekong countries train more science and engineering professionals and a high-caliber and skilled workforce.  </w:t>
      </w:r>
    </w:p>
    <w:p>
      <w:pPr>
        <w:snapToGrid w:val="0"/>
        <w:spacing w:before="240" w:beforeLines="100"/>
        <w:ind w:firstLine="560" w:firstLineChars="200"/>
        <w:jc w:val="thaiDistribute"/>
        <w:rPr>
          <w:rFonts w:ascii="Times New Roman" w:hAnsi="Times New Roman"/>
          <w:sz w:val="28"/>
          <w:szCs w:val="28"/>
          <w:lang w:val="en"/>
        </w:rPr>
      </w:pPr>
      <w:r>
        <w:rPr>
          <w:rFonts w:hint="eastAsia" w:ascii="Times New Roman" w:hAnsi="Times New Roman"/>
          <w:sz w:val="28"/>
          <w:szCs w:val="28"/>
          <w:lang w:eastAsia="zh-CN"/>
        </w:rPr>
        <w:t>9</w:t>
      </w:r>
      <w:r>
        <w:rPr>
          <w:rFonts w:ascii="Times New Roman" w:hAnsi="Times New Roman"/>
          <w:sz w:val="28"/>
          <w:szCs w:val="28"/>
          <w:lang w:val="en"/>
        </w:rPr>
        <w:t>. We recognize the importance of funding for sustainable development of the region,</w:t>
      </w:r>
      <w:r>
        <w:rPr>
          <w:rFonts w:ascii="Times New Roman" w:hAnsi="Times New Roman"/>
          <w:sz w:val="28"/>
          <w:szCs w:val="28"/>
        </w:rPr>
        <w:t xml:space="preserve"> </w:t>
      </w:r>
      <w:r>
        <w:rPr>
          <w:rFonts w:ascii="Times New Roman" w:hAnsi="Times New Roman"/>
          <w:sz w:val="28"/>
          <w:szCs w:val="28"/>
          <w:lang w:val="en"/>
        </w:rPr>
        <w:t xml:space="preserve">welcome the </w:t>
      </w:r>
      <w:r>
        <w:rPr>
          <w:rFonts w:ascii="Times New Roman" w:hAnsi="Times New Roman"/>
          <w:i/>
          <w:iCs/>
          <w:sz w:val="28"/>
          <w:szCs w:val="28"/>
          <w:lang w:val="en"/>
        </w:rPr>
        <w:t>List of the Projects Supported by LMC Special Fund of 2021</w:t>
      </w:r>
      <w:r>
        <w:rPr>
          <w:rFonts w:ascii="Times New Roman" w:hAnsi="Times New Roman"/>
          <w:sz w:val="28"/>
          <w:szCs w:val="28"/>
          <w:lang w:val="en"/>
        </w:rPr>
        <w:t xml:space="preserve"> </w:t>
      </w:r>
      <w:r>
        <w:rPr>
          <w:rFonts w:ascii="Times New Roman" w:hAnsi="Times New Roman"/>
          <w:sz w:val="28"/>
          <w:szCs w:val="28"/>
        </w:rPr>
        <w:t>releas</w:t>
      </w:r>
      <w:r>
        <w:rPr>
          <w:rFonts w:ascii="Times New Roman" w:hAnsi="Times New Roman"/>
          <w:sz w:val="28"/>
          <w:szCs w:val="28"/>
          <w:lang w:val="en"/>
        </w:rPr>
        <w:t>ed by China</w:t>
      </w:r>
      <w:r>
        <w:rPr>
          <w:rFonts w:ascii="Times New Roman" w:hAnsi="Times New Roman"/>
          <w:sz w:val="28"/>
          <w:szCs w:val="28"/>
        </w:rPr>
        <w:t>,</w:t>
      </w:r>
      <w:r>
        <w:rPr>
          <w:rFonts w:ascii="Times New Roman" w:hAnsi="Times New Roman"/>
          <w:sz w:val="28"/>
          <w:szCs w:val="28"/>
          <w:lang w:val="en"/>
        </w:rPr>
        <w:t xml:space="preserve"> and call for further enhancing project quality and implementation efficiency to produce greater influence and better serve the economic </w:t>
      </w:r>
      <w:r>
        <w:rPr>
          <w:rFonts w:ascii="Times New Roman" w:hAnsi="Times New Roman"/>
          <w:sz w:val="28"/>
          <w:szCs w:val="28"/>
        </w:rPr>
        <w:t xml:space="preserve">and social </w:t>
      </w:r>
      <w:r>
        <w:rPr>
          <w:rFonts w:ascii="Times New Roman" w:hAnsi="Times New Roman"/>
          <w:sz w:val="28"/>
          <w:szCs w:val="28"/>
          <w:lang w:val="en"/>
        </w:rPr>
        <w:t xml:space="preserve">development of the six member  countries. </w:t>
      </w:r>
    </w:p>
    <w:p>
      <w:pPr>
        <w:snapToGrid w:val="0"/>
        <w:spacing w:before="240" w:beforeLines="100"/>
        <w:ind w:firstLine="560" w:firstLineChars="200"/>
        <w:jc w:val="thaiDistribute"/>
        <w:rPr>
          <w:rFonts w:ascii="Times New Roman" w:hAnsi="Times New Roman"/>
          <w:sz w:val="28"/>
          <w:szCs w:val="28"/>
          <w:lang w:val="en"/>
        </w:rPr>
      </w:pPr>
      <w:r>
        <w:rPr>
          <w:rFonts w:hint="eastAsia" w:ascii="Times New Roman" w:hAnsi="Times New Roman"/>
          <w:sz w:val="28"/>
          <w:szCs w:val="28"/>
          <w:lang w:eastAsia="zh-CN"/>
        </w:rPr>
        <w:t>10</w:t>
      </w:r>
      <w:r>
        <w:rPr>
          <w:rFonts w:ascii="Times New Roman" w:hAnsi="Times New Roman"/>
          <w:sz w:val="28"/>
          <w:szCs w:val="28"/>
          <w:lang w:val="en"/>
        </w:rPr>
        <w:t xml:space="preserve">. We reaffirm to strengthen multilateralism to support win-win cooperation for addressing challenges and ensuring benefit to all LMC countries. Committing to the principle of openness and inclusiveness, we agree to foster greater synergy and coordinated development efforts between the LMC and other regional organizations as well as sub-regional cooperation frameworks including the Association of South East Asian Nations (ASEAN), Ayeyawady–Chao Phraya–Mekong Economic Cooperation Strategy (ACMECS), Greater Mekong Subregion Economic Cooperation Programme (GMS) and the Mekong River Commission (MRC). Other international organizations and institutions, such as the World Bank, Asian Infrastructure Investment Bank (AIIB) and Asian Development Bank (ADB) are also welcomed to contribute to the LMC in promoting ASEAN Community building and regional economic integration. </w:t>
      </w:r>
    </w:p>
    <w:p>
      <w:pPr>
        <w:snapToGrid w:val="0"/>
        <w:spacing w:before="240" w:beforeLines="100"/>
        <w:ind w:firstLine="560" w:firstLineChars="200"/>
        <w:jc w:val="thaiDistribute"/>
        <w:rPr>
          <w:rFonts w:ascii="Times New Roman" w:hAnsi="Times New Roman"/>
          <w:sz w:val="28"/>
          <w:szCs w:val="28"/>
          <w:lang w:val="en"/>
        </w:rPr>
      </w:pPr>
      <w:r>
        <w:rPr>
          <w:rFonts w:ascii="Times New Roman" w:hAnsi="Times New Roman"/>
          <w:sz w:val="28"/>
          <w:szCs w:val="28"/>
          <w:lang w:val="en"/>
        </w:rPr>
        <w:t xml:space="preserve"> </w:t>
      </w:r>
    </w:p>
    <w:p>
      <w:pPr>
        <w:snapToGrid w:val="0"/>
        <w:spacing w:before="240" w:beforeLines="100"/>
        <w:ind w:firstLine="845" w:firstLineChars="302"/>
        <w:rPr>
          <w:rFonts w:ascii="Times New Roman" w:hAnsi="Times New Roman"/>
          <w:sz w:val="28"/>
          <w:szCs w:val="28"/>
          <w:lang w:val="en"/>
        </w:rPr>
      </w:pPr>
    </w:p>
    <w:p>
      <w:r>
        <w:t xml:space="preserve"> </w:t>
      </w:r>
    </w:p>
    <w:p>
      <w:pPr>
        <w:rPr>
          <w:rFonts w:hint="cs"/>
          <w:cs/>
        </w:rPr>
      </w:pPr>
      <w:r>
        <w:t xml:space="preserve"> </w:t>
      </w:r>
    </w:p>
    <w:sectPr>
      <w:headerReference r:id="rId4" w:type="first"/>
      <w:footerReference r:id="rId6" w:type="first"/>
      <w:footerReference r:id="rId5" w:type="default"/>
      <w:headerReference r:id="rId3" w:type="even"/>
      <w:pgSz w:w="11909" w:h="16834"/>
      <w:pgMar w:top="1440" w:right="1800" w:bottom="1440" w:left="1800" w:header="426" w:footer="720" w:gutter="0"/>
      <w:cols w:space="720" w:num="1"/>
      <w:titlePg/>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rdia New">
    <w:panose1 w:val="020B0304020202020204"/>
    <w:charset w:val="DE"/>
    <w:family w:val="swiss"/>
    <w:pitch w:val="default"/>
    <w:sig w:usb0="81000003" w:usb1="00000000" w:usb2="00000000" w:usb3="00000000" w:csb0="00010001" w:csb1="00000000"/>
  </w:font>
  <w:font w:name="EucrosiaUPC">
    <w:panose1 w:val="02020603050405020304"/>
    <w:charset w:val="DE"/>
    <w:family w:val="roman"/>
    <w:pitch w:val="default"/>
    <w:sig w:usb0="81000027" w:usb1="00000002" w:usb2="00000000" w:usb3="00000000" w:csb0="00010001" w:csb1="00000000"/>
  </w:font>
  <w:font w:name="Angsana New">
    <w:panose1 w:val="02020603050405020304"/>
    <w:charset w:val="DE"/>
    <w:family w:val="roman"/>
    <w:pitch w:val="default"/>
    <w:sig w:usb0="81000003" w:usb1="00000000" w:usb2="00000000" w:usb3="00000000" w:csb0="00010001" w:csb1="00000000"/>
  </w:font>
  <w:font w:name="Segoe UI">
    <w:panose1 w:val="020B0502040204020203"/>
    <w:charset w:val="00"/>
    <w:family w:val="swiss"/>
    <w:pitch w:val="default"/>
    <w:sig w:usb0="E10022FF" w:usb1="C000E47F" w:usb2="00000029" w:usb3="00000000" w:csb0="200001DF" w:csb1="20000000"/>
  </w:font>
  <w:font w:name="AngsanaUPC">
    <w:panose1 w:val="02020603050405020304"/>
    <w:charset w:val="DE"/>
    <w:family w:val="roman"/>
    <w:pitch w:val="default"/>
    <w:sig w:usb0="81000003" w:usb1="00000000" w:usb2="00000000" w:usb3="00000000" w:csb0="0001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2</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eastAsia="zh-CN"/>
      </w:rPr>
      <w:t>2</w:t>
    </w:r>
    <w:r>
      <w:fldChar w:fldCharType="end"/>
    </w:r>
  </w:p>
  <w:p>
    <w:pPr>
      <w:pStyle w:val="8"/>
      <w:rPr>
        <w:rFonts w:ascii="Times New Roman" w:cs="AngsanaUPC"/>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imes New Roman" w:hAnsi="Times New Roman"/>
        <w:b/>
        <w:bCs/>
        <w:color w:val="00B050"/>
        <w:sz w:val="24"/>
        <w:szCs w:val="24"/>
        <w:u w:val="single"/>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88965"/>
    <w:multiLevelType w:val="singleLevel"/>
    <w:tmpl w:val="CD688965"/>
    <w:lvl w:ilvl="0" w:tentative="0">
      <w:start w:val="1"/>
      <w:numFmt w:val="decimal"/>
      <w:lvlText w:val="%1."/>
      <w:lvlJc w:val="left"/>
      <w:pPr>
        <w:tabs>
          <w:tab w:val="left" w:pos="312"/>
        </w:tabs>
        <w:ind w:left="0" w:firstLine="0"/>
      </w:pPr>
      <w:rPr>
        <w:strike w:val="0"/>
        <w:dstrike w:val="0"/>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isplayHorizontalDrawingGridEvery w:val="1"/>
  <w:displayVerticalDrawingGridEvery w:val="1"/>
  <w:doNotUseMarginsForDrawingGridOrigin w:val="1"/>
  <w:drawingGridHorizontalOrigin w:val="1701"/>
  <w:drawingGridVerticalOrigin w:val="1984"/>
  <w:noPunctuationKerning w:val="1"/>
  <w:characterSpacingControl w:val="doNotCompress"/>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6D"/>
    <w:rsid w:val="0002417D"/>
    <w:rsid w:val="00041B7D"/>
    <w:rsid w:val="00052719"/>
    <w:rsid w:val="00061D4A"/>
    <w:rsid w:val="00062704"/>
    <w:rsid w:val="00075A0A"/>
    <w:rsid w:val="00091944"/>
    <w:rsid w:val="000E0C70"/>
    <w:rsid w:val="000E0E2A"/>
    <w:rsid w:val="000E5FFB"/>
    <w:rsid w:val="001301E2"/>
    <w:rsid w:val="00147D23"/>
    <w:rsid w:val="00156DB6"/>
    <w:rsid w:val="00157A81"/>
    <w:rsid w:val="001808CA"/>
    <w:rsid w:val="001834BA"/>
    <w:rsid w:val="002012AF"/>
    <w:rsid w:val="0020314A"/>
    <w:rsid w:val="002775BA"/>
    <w:rsid w:val="002939FE"/>
    <w:rsid w:val="002B074B"/>
    <w:rsid w:val="002B3F37"/>
    <w:rsid w:val="00302A49"/>
    <w:rsid w:val="00310374"/>
    <w:rsid w:val="00313D04"/>
    <w:rsid w:val="00333D25"/>
    <w:rsid w:val="003520CD"/>
    <w:rsid w:val="00360B0A"/>
    <w:rsid w:val="0036466D"/>
    <w:rsid w:val="00366381"/>
    <w:rsid w:val="003829EA"/>
    <w:rsid w:val="0039399A"/>
    <w:rsid w:val="003958B8"/>
    <w:rsid w:val="003A192F"/>
    <w:rsid w:val="003B71A1"/>
    <w:rsid w:val="003C4B59"/>
    <w:rsid w:val="00406654"/>
    <w:rsid w:val="00443E93"/>
    <w:rsid w:val="0046498E"/>
    <w:rsid w:val="004810A8"/>
    <w:rsid w:val="00497E08"/>
    <w:rsid w:val="004C35F5"/>
    <w:rsid w:val="00510BDB"/>
    <w:rsid w:val="00555544"/>
    <w:rsid w:val="00564CA2"/>
    <w:rsid w:val="005A31EF"/>
    <w:rsid w:val="005A59E6"/>
    <w:rsid w:val="005D35FE"/>
    <w:rsid w:val="00605732"/>
    <w:rsid w:val="00625CC2"/>
    <w:rsid w:val="00681DF5"/>
    <w:rsid w:val="00683A8A"/>
    <w:rsid w:val="00692F04"/>
    <w:rsid w:val="006A538C"/>
    <w:rsid w:val="006B186E"/>
    <w:rsid w:val="006D5CC1"/>
    <w:rsid w:val="00720161"/>
    <w:rsid w:val="00725066"/>
    <w:rsid w:val="00795703"/>
    <w:rsid w:val="007A3324"/>
    <w:rsid w:val="00845090"/>
    <w:rsid w:val="00865F49"/>
    <w:rsid w:val="008755B7"/>
    <w:rsid w:val="00890A3B"/>
    <w:rsid w:val="008E13EC"/>
    <w:rsid w:val="00920489"/>
    <w:rsid w:val="009B2B64"/>
    <w:rsid w:val="009D64B0"/>
    <w:rsid w:val="00A27FE0"/>
    <w:rsid w:val="00A83DAF"/>
    <w:rsid w:val="00AA15B7"/>
    <w:rsid w:val="00AF0875"/>
    <w:rsid w:val="00B049F3"/>
    <w:rsid w:val="00B25B69"/>
    <w:rsid w:val="00B35053"/>
    <w:rsid w:val="00B72685"/>
    <w:rsid w:val="00B73322"/>
    <w:rsid w:val="00C51E91"/>
    <w:rsid w:val="00C55FDF"/>
    <w:rsid w:val="00C8164D"/>
    <w:rsid w:val="00CD6F52"/>
    <w:rsid w:val="00D354D2"/>
    <w:rsid w:val="00D65CAE"/>
    <w:rsid w:val="00D96AD9"/>
    <w:rsid w:val="00DC4BCD"/>
    <w:rsid w:val="00DE5A2D"/>
    <w:rsid w:val="00DF175F"/>
    <w:rsid w:val="00DF58A4"/>
    <w:rsid w:val="00E00928"/>
    <w:rsid w:val="00E4101A"/>
    <w:rsid w:val="00E81AC2"/>
    <w:rsid w:val="00F261CC"/>
    <w:rsid w:val="00F35C45"/>
    <w:rsid w:val="00F674FB"/>
    <w:rsid w:val="00F70E06"/>
    <w:rsid w:val="00F74AA3"/>
    <w:rsid w:val="00FB2107"/>
    <w:rsid w:val="00FB4C20"/>
    <w:rsid w:val="00FB63FA"/>
    <w:rsid w:val="00FD415B"/>
    <w:rsid w:val="39AF0FD0"/>
    <w:rsid w:val="4A76B7E4"/>
    <w:rsid w:val="4F740A33"/>
    <w:rsid w:val="5EFAB4C6"/>
    <w:rsid w:val="62AB1EAC"/>
    <w:rsid w:val="68FBE59D"/>
    <w:rsid w:val="6DC40657"/>
    <w:rsid w:val="6EE79404"/>
    <w:rsid w:val="6F656C74"/>
    <w:rsid w:val="6FB50AA0"/>
    <w:rsid w:val="6FFBCD11"/>
    <w:rsid w:val="76FB370E"/>
    <w:rsid w:val="777F376F"/>
    <w:rsid w:val="77EDBF0F"/>
    <w:rsid w:val="7BF7DD16"/>
    <w:rsid w:val="7CFE2ED7"/>
    <w:rsid w:val="7DFBB2E0"/>
    <w:rsid w:val="7F7BF171"/>
    <w:rsid w:val="7F7F513A"/>
    <w:rsid w:val="7FEF000F"/>
    <w:rsid w:val="7FFD4EB0"/>
    <w:rsid w:val="8DFE9793"/>
    <w:rsid w:val="9DFE0691"/>
    <w:rsid w:val="9FB7DA64"/>
    <w:rsid w:val="AFE5B6CF"/>
    <w:rsid w:val="AFFE3F6A"/>
    <w:rsid w:val="B7ED915B"/>
    <w:rsid w:val="B7EF8239"/>
    <w:rsid w:val="BB6EC963"/>
    <w:rsid w:val="BB75C2C2"/>
    <w:rsid w:val="C8C8135E"/>
    <w:rsid w:val="D6FBB35D"/>
    <w:rsid w:val="DCFB9F35"/>
    <w:rsid w:val="EF7E9FFE"/>
    <w:rsid w:val="EFC7554E"/>
    <w:rsid w:val="EFEEE143"/>
    <w:rsid w:val="F6561293"/>
    <w:rsid w:val="F6FD78EB"/>
    <w:rsid w:val="F79A73AB"/>
    <w:rsid w:val="F8DB9C14"/>
    <w:rsid w:val="F9D5E952"/>
    <w:rsid w:val="F9FD3133"/>
    <w:rsid w:val="FBAE3B1F"/>
    <w:rsid w:val="FBAF04AA"/>
    <w:rsid w:val="FDBFC3B6"/>
    <w:rsid w:val="FDF98832"/>
    <w:rsid w:val="FFFF14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rFonts w:ascii="Cordia New" w:hAnsi="Cordia New" w:cs="Cordia New"/>
      <w:sz w:val="32"/>
      <w:szCs w:val="32"/>
      <w:lang w:val="en-US" w:eastAsia="en-US" w:bidi="th-TH"/>
    </w:rPr>
  </w:style>
  <w:style w:type="character" w:default="1" w:styleId="16">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styleId="2">
    <w:name w:val="macro"/>
    <w:semiHidden/>
    <w:uiPriority w:val="0"/>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lang w:val="en-US" w:eastAsia="en-US" w:bidi="th-TH"/>
    </w:rPr>
  </w:style>
  <w:style w:type="paragraph" w:styleId="3">
    <w:name w:val="caption"/>
    <w:basedOn w:val="1"/>
    <w:next w:val="1"/>
    <w:qFormat/>
    <w:uiPriority w:val="0"/>
    <w:rPr>
      <w:rFonts w:ascii="Angsana New" w:cs="Angsana New"/>
      <w:b/>
      <w:bCs/>
      <w:sz w:val="60"/>
      <w:szCs w:val="60"/>
    </w:rPr>
  </w:style>
  <w:style w:type="paragraph" w:styleId="4">
    <w:name w:val="envelope address"/>
    <w:basedOn w:val="1"/>
    <w:uiPriority w:val="0"/>
    <w:pPr>
      <w:framePr w:w="7920" w:h="1980" w:hRule="exact" w:hSpace="180" w:wrap="auto" w:vAnchor="margin" w:hAnchor="page" w:xAlign="center" w:yAlign="bottom"/>
      <w:ind w:left="2880"/>
    </w:pPr>
    <w:rPr>
      <w:rFonts w:cs="Times New Roman"/>
      <w:b/>
      <w:bCs/>
      <w:sz w:val="32"/>
      <w:szCs w:val="32"/>
    </w:rPr>
  </w:style>
  <w:style w:type="paragraph" w:styleId="5">
    <w:name w:val="annotation text"/>
    <w:basedOn w:val="1"/>
    <w:link w:val="22"/>
    <w:uiPriority w:val="0"/>
    <w:pPr>
      <w:jc w:val="left"/>
    </w:pPr>
  </w:style>
  <w:style w:type="paragraph" w:styleId="6">
    <w:name w:val="Body Text"/>
    <w:basedOn w:val="1"/>
    <w:uiPriority w:val="0"/>
    <w:rPr>
      <w:rFonts w:cs="Times New Roman"/>
      <w:b/>
      <w:bCs/>
    </w:rPr>
  </w:style>
  <w:style w:type="paragraph" w:styleId="7">
    <w:name w:val="Balloon Text"/>
    <w:basedOn w:val="1"/>
    <w:link w:val="20"/>
    <w:uiPriority w:val="0"/>
    <w:rPr>
      <w:rFonts w:ascii="Segoe UI" w:hAnsi="Segoe UI" w:cs="Angsana New"/>
      <w:sz w:val="18"/>
      <w:szCs w:val="22"/>
    </w:rPr>
  </w:style>
  <w:style w:type="paragraph" w:styleId="8">
    <w:name w:val="footer"/>
    <w:basedOn w:val="1"/>
    <w:link w:val="24"/>
    <w:uiPriority w:val="99"/>
    <w:pPr>
      <w:tabs>
        <w:tab w:val="center" w:pos="4320"/>
        <w:tab w:val="right" w:pos="8640"/>
      </w:tabs>
    </w:pPr>
  </w:style>
  <w:style w:type="paragraph" w:styleId="9">
    <w:name w:val="header"/>
    <w:basedOn w:val="1"/>
    <w:link w:val="21"/>
    <w:uiPriority w:val="0"/>
    <w:pPr>
      <w:tabs>
        <w:tab w:val="center" w:pos="4153"/>
        <w:tab w:val="right" w:pos="8306"/>
      </w:tabs>
    </w:pPr>
  </w:style>
  <w:style w:type="paragraph" w:styleId="10">
    <w:name w:val="Subtitle"/>
    <w:basedOn w:val="1"/>
    <w:qFormat/>
    <w:uiPriority w:val="0"/>
    <w:rPr>
      <w:rFonts w:ascii="Cordia New" w:eastAsia="Cordia New" w:cs="Cordia New"/>
      <w:b/>
      <w:bCs/>
      <w:sz w:val="28"/>
      <w:szCs w:val="28"/>
      <w:u w:val="single"/>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Title"/>
    <w:basedOn w:val="1"/>
    <w:qFormat/>
    <w:uiPriority w:val="0"/>
    <w:pPr>
      <w:jc w:val="center"/>
    </w:pPr>
    <w:rPr>
      <w:rFonts w:ascii="Cordia New" w:eastAsia="Cordia New" w:cs="Cordia New"/>
      <w:b/>
      <w:bCs/>
      <w:sz w:val="36"/>
      <w:szCs w:val="36"/>
      <w:u w:val="single"/>
    </w:rPr>
  </w:style>
  <w:style w:type="paragraph" w:styleId="13">
    <w:name w:val="annotation subject"/>
    <w:basedOn w:val="5"/>
    <w:next w:val="5"/>
    <w:link w:val="23"/>
    <w:uiPriority w:val="0"/>
    <w:rPr>
      <w:b/>
      <w:bCs/>
      <w:szCs w:val="40"/>
    </w:rPr>
  </w:style>
  <w:style w:type="table" w:styleId="15">
    <w:name w:val="Table Grid"/>
    <w:basedOn w:val="14"/>
    <w:uiPriority w:val="0"/>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uiPriority w:val="0"/>
  </w:style>
  <w:style w:type="character" w:styleId="18">
    <w:name w:val="Hyperlink"/>
    <w:uiPriority w:val="0"/>
    <w:rPr>
      <w:rFonts w:cs="Times New Roman"/>
      <w:color w:val="0000FF"/>
      <w:u w:val="single"/>
    </w:rPr>
  </w:style>
  <w:style w:type="character" w:styleId="19">
    <w:name w:val="annotation reference"/>
    <w:uiPriority w:val="0"/>
    <w:rPr>
      <w:sz w:val="21"/>
      <w:szCs w:val="21"/>
    </w:rPr>
  </w:style>
  <w:style w:type="character" w:customStyle="1" w:styleId="20">
    <w:name w:val="批注框文本 字符"/>
    <w:link w:val="7"/>
    <w:uiPriority w:val="0"/>
    <w:rPr>
      <w:rFonts w:ascii="Segoe UI" w:hAnsi="Segoe UI"/>
      <w:sz w:val="18"/>
      <w:szCs w:val="22"/>
      <w:lang w:eastAsia="en-US"/>
    </w:rPr>
  </w:style>
  <w:style w:type="character" w:customStyle="1" w:styleId="21">
    <w:name w:val="页眉 字符"/>
    <w:link w:val="9"/>
    <w:uiPriority w:val="0"/>
    <w:rPr>
      <w:rFonts w:ascii="Cordia New" w:hAnsi="Cordia New" w:cs="Cordia New"/>
      <w:sz w:val="32"/>
      <w:szCs w:val="32"/>
      <w:lang w:eastAsia="en-US"/>
    </w:rPr>
  </w:style>
  <w:style w:type="character" w:customStyle="1" w:styleId="22">
    <w:name w:val="批注文字 字符"/>
    <w:link w:val="5"/>
    <w:uiPriority w:val="0"/>
    <w:rPr>
      <w:rFonts w:ascii="Cordia New" w:hAnsi="Cordia New" w:cs="Cordia New"/>
      <w:sz w:val="32"/>
      <w:szCs w:val="32"/>
      <w:lang w:eastAsia="en-US" w:bidi="th-TH"/>
    </w:rPr>
  </w:style>
  <w:style w:type="character" w:customStyle="1" w:styleId="23">
    <w:name w:val="批注主题 字符"/>
    <w:link w:val="13"/>
    <w:uiPriority w:val="0"/>
    <w:rPr>
      <w:rFonts w:ascii="Cordia New" w:hAnsi="Cordia New" w:cs="Cordia New"/>
      <w:b/>
      <w:bCs/>
      <w:sz w:val="32"/>
      <w:szCs w:val="40"/>
      <w:lang w:eastAsia="en-US" w:bidi="th-TH"/>
    </w:rPr>
  </w:style>
  <w:style w:type="character" w:customStyle="1" w:styleId="24">
    <w:name w:val="页脚 字符"/>
    <w:link w:val="8"/>
    <w:uiPriority w:val="99"/>
    <w:rPr>
      <w:rFonts w:ascii="Cordia New" w:hAnsi="Cordia New" w:cs="Cordia New"/>
      <w:sz w:val="32"/>
      <w:szCs w:val="32"/>
      <w:lang w:eastAsia="en-US" w:bidi="th-TH"/>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ak\Desktop\MFADD.tm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Ministry of Foreign Affairs</Company>
  <Pages>5</Pages>
  <Words>1518</Words>
  <Characters>8659</Characters>
  <Lines>72</Lines>
  <Paragraphs>20</Paragraphs>
  <TotalTime>2</TotalTime>
  <ScaleCrop>false</ScaleCrop>
  <LinksUpToDate>false</LinksUpToDate>
  <CharactersWithSpaces>10157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2021-05-30T05:08:00Z</dcterms:created>
  <dc:creator>郑明达</dc:creator>
  <cp:lastModifiedBy>郑明达</cp:lastModifiedBy>
  <cp:lastPrinted>2021-06-07T14:27:00Z</cp:lastPrinted>
  <dcterms:modified xsi:type="dcterms:W3CDTF">2021-06-08T17:14:46Z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4B57CC5637284FF4A720FA7A0AD24044</vt:lpwstr>
  </property>
</Properties>
</file>