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微观察·习近平总书记在省部级主要领导干部专题研讨班开班式上 “必须把顶层设计和摸着石头过河结合起来”</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重大主题报道</w:t>
            </w:r>
            <w:r>
              <w:rPr>
                <w:rFonts w:ascii="宋体" w:hAnsi="宋体" w:hint="eastAsia"/>
                <w:color w:val="000000"/>
                <w:sz w:val="24"/>
                <w:szCs w:val="21"/>
                <w:u w:val="single"/>
              </w:rPr>
              <w:t>报纸</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通讯</w:t>
            </w: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2887字</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杜尚泽、刘志强</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集体</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人民日报</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要闻1版转要闻2版</w:t>
            </w: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2024年11月02日</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4E4FDD">
            <w:pPr>
              <w:spacing w:line="440" w:lineRule="exact"/>
              <w:jc w:val="left"/>
              <w:rPr>
                <w:rFonts w:ascii="仿宋_GB2312" w:eastAsia="仿宋_GB2312" w:hAnsi="华文仿宋" w:hint="eastAsia"/>
                <w:color w:val="000000"/>
                <w:sz w:val="28"/>
                <w:szCs w:val="28"/>
              </w:rPr>
            </w:pP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proofErr w:type="gramStart"/>
            <w:r>
              <w:rPr>
                <w:rFonts w:ascii="宋体" w:hAnsi="宋体" w:cs="仿宋" w:hint="eastAsia"/>
                <w:color w:val="000000"/>
                <w:sz w:val="24"/>
                <w:szCs w:val="18"/>
              </w:rPr>
              <w:t>聚焦党</w:t>
            </w:r>
            <w:proofErr w:type="gramEnd"/>
            <w:r>
              <w:rPr>
                <w:rFonts w:ascii="宋体" w:hAnsi="宋体" w:cs="仿宋" w:hint="eastAsia"/>
                <w:color w:val="000000"/>
                <w:sz w:val="24"/>
                <w:szCs w:val="18"/>
              </w:rPr>
              <w:t>的二十届三中全会，习近平总书记在省部班开班式上释放重要</w:t>
            </w:r>
            <w:proofErr w:type="gramStart"/>
            <w:r>
              <w:rPr>
                <w:rFonts w:ascii="宋体" w:hAnsi="宋体" w:cs="仿宋" w:hint="eastAsia"/>
                <w:color w:val="000000"/>
                <w:sz w:val="24"/>
                <w:szCs w:val="18"/>
              </w:rPr>
              <w:t>讯息</w:t>
            </w:r>
            <w:proofErr w:type="gramEnd"/>
            <w:r>
              <w:rPr>
                <w:rFonts w:ascii="宋体" w:hAnsi="宋体" w:cs="仿宋" w:hint="eastAsia"/>
                <w:color w:val="000000"/>
                <w:sz w:val="24"/>
                <w:szCs w:val="18"/>
              </w:rPr>
              <w:t xml:space="preserve">。文章立足重大历史时刻，及时、系统、深刻捕捉到重大政策信号，传递了信息量丰富、指向鲜明的独家信息，为全党上下深入学习贯彻会议精神、奋力打开改革发展新天地提供了重要学习遵循。  </w:t>
            </w:r>
          </w:p>
          <w:p w14:paraId="216C6BB2"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在历史关键节点，</w:t>
            </w:r>
            <w:proofErr w:type="gramStart"/>
            <w:r>
              <w:rPr>
                <w:rFonts w:ascii="宋体" w:hAnsi="宋体" w:cs="仿宋" w:hint="eastAsia"/>
                <w:color w:val="000000"/>
                <w:sz w:val="24"/>
                <w:szCs w:val="18"/>
              </w:rPr>
              <w:t>文章将习近</w:t>
            </w:r>
            <w:proofErr w:type="gramEnd"/>
            <w:r>
              <w:rPr>
                <w:rFonts w:ascii="宋体" w:hAnsi="宋体" w:cs="仿宋" w:hint="eastAsia"/>
                <w:color w:val="000000"/>
                <w:sz w:val="24"/>
                <w:szCs w:val="18"/>
              </w:rPr>
              <w:t>平总书记改革思想与新时代改革实践相贯通，站位高远、视野宏阔、逻辑缜密、论述精当、语言鲜活，具备很强的思想性、故事性、可读性，发人深省、催人奋进。</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proofErr w:type="gramStart"/>
            <w:r>
              <w:rPr>
                <w:rFonts w:ascii="华文中宋" w:eastAsia="华文中宋" w:hAnsi="华文中宋" w:hint="eastAsia"/>
                <w:color w:val="000000"/>
                <w:sz w:val="28"/>
              </w:rPr>
              <w:t>效</w:t>
            </w:r>
            <w:proofErr w:type="gramEnd"/>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文章刊发后，在</w:t>
            </w:r>
            <w:proofErr w:type="gramStart"/>
            <w:r>
              <w:rPr>
                <w:rFonts w:ascii="宋体" w:hAnsi="宋体" w:cs="仿宋" w:hint="eastAsia"/>
                <w:color w:val="000000"/>
                <w:sz w:val="24"/>
                <w:szCs w:val="18"/>
              </w:rPr>
              <w:t>舆论场迅速</w:t>
            </w:r>
            <w:proofErr w:type="gramEnd"/>
            <w:r>
              <w:rPr>
                <w:rFonts w:ascii="宋体" w:hAnsi="宋体" w:cs="仿宋" w:hint="eastAsia"/>
                <w:color w:val="000000"/>
                <w:sz w:val="24"/>
                <w:szCs w:val="18"/>
              </w:rPr>
              <w:t>形成传播强势。国内各大网络媒体、商业网站、微博、微信、客户端以及“学习强国”等在显著位置转载，产生刷屏效应。人民日报传播矩阵根据稿件制作《习近平谈“两个毫不动摇”：不要搞孰轻孰重》《这篇文章，透露了改革的几个重要信号》等形式多样</w:t>
            </w:r>
            <w:proofErr w:type="gramStart"/>
            <w:r>
              <w:rPr>
                <w:rFonts w:ascii="宋体" w:hAnsi="宋体" w:cs="仿宋" w:hint="eastAsia"/>
                <w:color w:val="000000"/>
                <w:sz w:val="24"/>
                <w:szCs w:val="18"/>
              </w:rPr>
              <w:t>的融媒产品</w:t>
            </w:r>
            <w:proofErr w:type="gramEnd"/>
            <w:r>
              <w:rPr>
                <w:rFonts w:ascii="宋体" w:hAnsi="宋体" w:cs="仿宋" w:hint="eastAsia"/>
                <w:color w:val="000000"/>
                <w:sz w:val="24"/>
                <w:szCs w:val="18"/>
              </w:rPr>
              <w:t>。多个平台摘发后进行二次创作，</w:t>
            </w:r>
            <w:proofErr w:type="gramStart"/>
            <w:r>
              <w:rPr>
                <w:rFonts w:ascii="宋体" w:hAnsi="宋体" w:cs="仿宋" w:hint="eastAsia"/>
                <w:color w:val="000000"/>
                <w:sz w:val="24"/>
                <w:szCs w:val="18"/>
              </w:rPr>
              <w:t>外媒也</w:t>
            </w:r>
            <w:proofErr w:type="gramEnd"/>
            <w:r>
              <w:rPr>
                <w:rFonts w:ascii="宋体" w:hAnsi="宋体" w:cs="仿宋" w:hint="eastAsia"/>
                <w:color w:val="000000"/>
                <w:sz w:val="24"/>
                <w:szCs w:val="18"/>
              </w:rPr>
              <w:t>及时跟进解读。全网综合阅读量超1亿次，成为时政报道守</w:t>
            </w:r>
            <w:proofErr w:type="gramStart"/>
            <w:r>
              <w:rPr>
                <w:rFonts w:ascii="宋体" w:hAnsi="宋体" w:cs="仿宋" w:hint="eastAsia"/>
                <w:color w:val="000000"/>
                <w:sz w:val="24"/>
                <w:szCs w:val="18"/>
              </w:rPr>
              <w:t>正创新</w:t>
            </w:r>
            <w:proofErr w:type="gramEnd"/>
            <w:r>
              <w:rPr>
                <w:rFonts w:ascii="宋体" w:hAnsi="宋体" w:cs="仿宋" w:hint="eastAsia"/>
                <w:color w:val="000000"/>
                <w:sz w:val="24"/>
                <w:szCs w:val="18"/>
              </w:rPr>
              <w:t>融合传播的范例。</w:t>
            </w:r>
          </w:p>
          <w:p w14:paraId="576C5CA9"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多地省区市领导班子组织学习研究。文章及系列</w:t>
            </w:r>
            <w:proofErr w:type="gramStart"/>
            <w:r>
              <w:rPr>
                <w:rFonts w:ascii="宋体" w:hAnsi="宋体" w:cs="仿宋" w:hint="eastAsia"/>
                <w:color w:val="000000"/>
                <w:sz w:val="24"/>
                <w:szCs w:val="18"/>
              </w:rPr>
              <w:t>融媒作品</w:t>
            </w:r>
            <w:proofErr w:type="gramEnd"/>
            <w:r>
              <w:rPr>
                <w:rFonts w:ascii="宋体" w:hAnsi="宋体" w:cs="仿宋" w:hint="eastAsia"/>
                <w:color w:val="000000"/>
                <w:sz w:val="24"/>
                <w:szCs w:val="18"/>
              </w:rPr>
              <w:t>引发热议。“以一往无前的胆魄和勇气，创造新的历史”“事虽难，做则必成”……网友留言奋进向上，聚起改革正能量。</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https://www.peopleapp.com/column/30047208842-500005885459</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https://article.xuexi.cn/articles/index.html?art_id=12009544533439743643&amp;item_id=12009544533439743643&amp;reedit_timestamp=1730520657000&amp;to_audit_timestamp=2024-11-02%2012%3A10%3A57&amp;study_style_id=feeds_default&amp;t=17305875794</w:t>
            </w:r>
            <w:r>
              <w:rPr>
                <w:rFonts w:ascii="宋体" w:hAnsi="宋体" w:hint="eastAsia"/>
                <w:color w:val="000000"/>
                <w:sz w:val="24"/>
                <w:szCs w:val="24"/>
              </w:rPr>
              <w:lastRenderedPageBreak/>
              <w:t>92&amp;showmenu=false&amp;ref_read_id=127d95c6-3660-4ab9-b821-b2ea52fd6580_1746458981386&amp;pid=&amp;ptype=-1&amp;source=share&amp;share_to=copylink</w:t>
            </w: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https://www.ccps.gov.cn/xtt/202411/t20241102_165057.shtml</w:t>
            </w: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1亿</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1245家</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220余万</w:t>
            </w: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这篇“微观察”稿件作为重大历史时刻的重要发声，切口准、表达活、分析深，准确把握并释放党中央关于进一步全面深化改革的关键信号，生动立体贯通阐释习近平总书记思想，实现了“寓理于事”“情理交融”，以高出一筹的站位和水准成为一部有分量的精品力作。报道推出后传播广泛，为广大干部群众更加紧密地团结在以习近平同志为核心的党中央周围，</w:t>
            </w:r>
            <w:proofErr w:type="gramStart"/>
            <w:r>
              <w:rPr>
                <w:rFonts w:ascii="宋体" w:hAnsi="宋体" w:cs="仿宋" w:hint="eastAsia"/>
                <w:color w:val="000000"/>
                <w:sz w:val="24"/>
                <w:szCs w:val="18"/>
              </w:rPr>
              <w:t>踔</w:t>
            </w:r>
            <w:proofErr w:type="gramEnd"/>
            <w:r>
              <w:rPr>
                <w:rFonts w:ascii="宋体" w:hAnsi="宋体" w:cs="仿宋" w:hint="eastAsia"/>
                <w:color w:val="000000"/>
                <w:sz w:val="24"/>
                <w:szCs w:val="18"/>
              </w:rPr>
              <w:t>厉奋发再续改革新篇，明晰了方向。</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31" w:type="dxa"/>
            <w:gridSpan w:val="4"/>
            <w:vAlign w:val="center"/>
          </w:tcPr>
          <w:p w14:paraId="35F5A501" w14:textId="002C1DBA"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377D0F75"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0F82FF0E"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53C6DFC2"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2F7F6CF1" w:rsidR="004E4FDD" w:rsidRDefault="004E4FDD">
            <w:pPr>
              <w:spacing w:line="240" w:lineRule="exact"/>
              <w:rPr>
                <w:rFonts w:ascii="华文中宋" w:eastAsia="华文中宋" w:hAnsi="华文中宋" w:hint="eastAsia"/>
                <w:color w:val="000000"/>
                <w:sz w:val="28"/>
                <w:szCs w:val="28"/>
              </w:rPr>
            </w:pPr>
          </w:p>
        </w:tc>
      </w:tr>
    </w:tbl>
    <w:p w14:paraId="2CE7649F" w14:textId="77777777" w:rsidR="004E4FDD" w:rsidRDefault="00000000">
      <w:pPr>
        <w:widowControl/>
        <w:jc w:val="left"/>
      </w:pPr>
      <w:r>
        <w:br w:type="page"/>
      </w:r>
    </w:p>
    <w:p w14:paraId="440C02BA" w14:textId="77777777" w:rsidR="004E4FDD" w:rsidRDefault="00000000">
      <w:pPr>
        <w:spacing w:afterLines="50" w:after="156" w:line="600" w:lineRule="exact"/>
        <w:jc w:val="center"/>
        <w:rPr>
          <w:rFonts w:ascii="方正小标宋简体" w:eastAsia="方正小标宋简体" w:hAnsi="方正小标宋简体" w:cs="方正小标宋简体" w:hint="eastAsia"/>
          <w:color w:val="000000"/>
          <w:sz w:val="44"/>
          <w:szCs w:val="44"/>
        </w:rPr>
      </w:pPr>
      <w:r>
        <w:rPr>
          <w:rFonts w:ascii="方正小标宋简体" w:eastAsia="方正小标宋简体" w:hAnsi="方正小标宋简体" w:cs="方正小标宋简体" w:hint="eastAsia"/>
          <w:color w:val="000000"/>
          <w:sz w:val="44"/>
          <w:szCs w:val="44"/>
        </w:rPr>
        <w:lastRenderedPageBreak/>
        <w:t>集体人员名单</w:t>
      </w:r>
    </w:p>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222"/>
      </w:tblGrid>
      <w:tr w:rsidR="004E4FDD" w14:paraId="471046A6" w14:textId="77777777">
        <w:trPr>
          <w:trHeight w:val="680"/>
        </w:trPr>
        <w:tc>
          <w:tcPr>
            <w:tcW w:w="1843" w:type="dxa"/>
            <w:vAlign w:val="center"/>
          </w:tcPr>
          <w:p w14:paraId="1BD160AE"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作品标题</w:t>
            </w:r>
          </w:p>
        </w:tc>
        <w:tc>
          <w:tcPr>
            <w:tcW w:w="8222" w:type="dxa"/>
            <w:vAlign w:val="center"/>
          </w:tcPr>
          <w:p w14:paraId="4A76B526"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微观察·习近平总书记在省部级主要领导干部专题研讨班开班式上 “必须把顶层设计和摸着石头过河结合起来”</w:t>
            </w:r>
          </w:p>
        </w:tc>
      </w:tr>
      <w:tr w:rsidR="004E4FDD" w14:paraId="2C880B9F" w14:textId="77777777">
        <w:trPr>
          <w:trHeight w:val="680"/>
        </w:trPr>
        <w:tc>
          <w:tcPr>
            <w:tcW w:w="1843" w:type="dxa"/>
            <w:vAlign w:val="center"/>
          </w:tcPr>
          <w:p w14:paraId="65762768" w14:textId="77777777" w:rsidR="004E4FDD" w:rsidRDefault="00000000">
            <w:pPr>
              <w:spacing w:before="80" w:after="80" w:line="320" w:lineRule="exact"/>
              <w:jc w:val="center"/>
              <w:rPr>
                <w:rFonts w:ascii="华文中宋" w:eastAsia="华文中宋" w:hAnsi="华文中宋" w:hint="eastAsia"/>
                <w:color w:val="000000"/>
                <w:spacing w:val="-12"/>
                <w:sz w:val="24"/>
              </w:rPr>
            </w:pPr>
            <w:r>
              <w:rPr>
                <w:rFonts w:ascii="华文中宋" w:eastAsia="华文中宋" w:hAnsi="华文中宋" w:hint="eastAsia"/>
                <w:color w:val="000000"/>
                <w:sz w:val="28"/>
              </w:rPr>
              <w:t xml:space="preserve">编 </w:t>
            </w:r>
            <w:r>
              <w:rPr>
                <w:rFonts w:ascii="华文中宋" w:eastAsia="华文中宋" w:hAnsi="华文中宋"/>
                <w:color w:val="000000"/>
                <w:sz w:val="28"/>
              </w:rPr>
              <w:t xml:space="preserve"> </w:t>
            </w:r>
            <w:r>
              <w:rPr>
                <w:rFonts w:ascii="华文中宋" w:eastAsia="华文中宋" w:hAnsi="华文中宋" w:hint="eastAsia"/>
                <w:color w:val="000000"/>
                <w:sz w:val="28"/>
              </w:rPr>
              <w:t>辑</w:t>
            </w:r>
          </w:p>
        </w:tc>
        <w:tc>
          <w:tcPr>
            <w:tcW w:w="8222" w:type="dxa"/>
            <w:vAlign w:val="center"/>
          </w:tcPr>
          <w:p w14:paraId="00D2A81D" w14:textId="77777777" w:rsidR="004E4FDD" w:rsidRDefault="00000000">
            <w:pPr>
              <w:spacing w:before="80" w:after="80" w:line="288" w:lineRule="auto"/>
              <w:rPr>
                <w:rFonts w:ascii="仿宋" w:eastAsia="仿宋" w:hAnsi="仿宋" w:cs="仿宋" w:hint="eastAsia"/>
                <w:color w:val="000000"/>
                <w:szCs w:val="16"/>
              </w:rPr>
            </w:pPr>
            <w:r>
              <w:rPr>
                <w:rFonts w:ascii="宋体" w:hAnsi="宋体" w:hint="eastAsia"/>
                <w:color w:val="000000"/>
                <w:sz w:val="24"/>
                <w:szCs w:val="24"/>
              </w:rPr>
              <w:t>彭俊、王斌来、李仕权、王军、许诺、张帅祯、栾心怡、蒋雪婕、祁嘉润、张安宇</w:t>
            </w: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6137"/>
    <w:rsid w:val="002A6CA9"/>
    <w:rsid w:val="002E5B62"/>
    <w:rsid w:val="003045D5"/>
    <w:rsid w:val="00367DE0"/>
    <w:rsid w:val="004074EA"/>
    <w:rsid w:val="00443CB3"/>
    <w:rsid w:val="00452A58"/>
    <w:rsid w:val="0049516C"/>
    <w:rsid w:val="004C6D91"/>
    <w:rsid w:val="004E4FDD"/>
    <w:rsid w:val="00501822"/>
    <w:rsid w:val="00553740"/>
    <w:rsid w:val="005A491E"/>
    <w:rsid w:val="005E00AC"/>
    <w:rsid w:val="00726BCD"/>
    <w:rsid w:val="00820E85"/>
    <w:rsid w:val="00874FF3"/>
    <w:rsid w:val="009C3E14"/>
    <w:rsid w:val="00A26F16"/>
    <w:rsid w:val="00B00141"/>
    <w:rsid w:val="00B3680B"/>
    <w:rsid w:val="00C12FFB"/>
    <w:rsid w:val="00C95E4D"/>
    <w:rsid w:val="00D73977"/>
    <w:rsid w:val="00DE19FE"/>
    <w:rsid w:val="00DE2FA1"/>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