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6FAFF">
      <w:pPr>
        <w:spacing w:line="580" w:lineRule="exact"/>
        <w:jc w:val="center"/>
        <w:rPr>
          <w:rFonts w:hint="eastAsia" w:ascii="华文中宋" w:hAnsi="华文中宋" w:eastAsia="华文中宋" w:cs="仿宋"/>
          <w:sz w:val="44"/>
          <w:szCs w:val="44"/>
        </w:rPr>
      </w:pPr>
    </w:p>
    <w:p w14:paraId="1B31637F">
      <w:pPr>
        <w:spacing w:line="580" w:lineRule="exact"/>
        <w:jc w:val="center"/>
        <w:rPr>
          <w:rFonts w:hint="eastAsia" w:ascii="华文中宋" w:hAnsi="华文中宋" w:eastAsia="华文中宋" w:cs="仿宋"/>
          <w:sz w:val="44"/>
          <w:szCs w:val="44"/>
        </w:rPr>
      </w:pPr>
      <w:r>
        <w:rPr>
          <w:rFonts w:hint="eastAsia" w:ascii="华文中宋" w:hAnsi="华文中宋" w:eastAsia="华文中宋" w:cs="仿宋"/>
          <w:sz w:val="44"/>
          <w:szCs w:val="44"/>
          <w:lang w:val="en-US" w:eastAsia="zh-CN"/>
        </w:rPr>
        <w:t>说法丨</w:t>
      </w:r>
      <w:bookmarkStart w:id="0" w:name="_GoBack"/>
      <w:bookmarkEnd w:id="0"/>
      <w:r>
        <w:rPr>
          <w:rFonts w:hint="eastAsia" w:ascii="华文中宋" w:hAnsi="华文中宋" w:eastAsia="华文中宋" w:cs="仿宋"/>
          <w:sz w:val="44"/>
          <w:szCs w:val="44"/>
        </w:rPr>
        <w:t>规范探店视频，守护消费者“舌尖上的安全”</w:t>
      </w:r>
    </w:p>
    <w:p w14:paraId="334D6C0B">
      <w:pPr>
        <w:spacing w:line="580" w:lineRule="exact"/>
        <w:jc w:val="center"/>
        <w:rPr>
          <w:rFonts w:hint="eastAsia" w:ascii="华文中宋" w:hAnsi="华文中宋" w:eastAsia="华文中宋" w:cs="仿宋"/>
          <w:sz w:val="44"/>
          <w:szCs w:val="44"/>
        </w:rPr>
      </w:pPr>
    </w:p>
    <w:p w14:paraId="15E90A79"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探店视频里相关的乱象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</w:rPr>
        <w:t>店铺食品质量不达标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</w:rPr>
        <w:t>实际价格与推广视频里价格不相符，只有司法机关、行政机关线上线下形成联动，才能真正保障消费者买得放心、吃得安全。</w:t>
      </w:r>
    </w:p>
    <w:p w14:paraId="1448CD58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我有个朋友，有一次在短视频平台上，刷到了一个“网红探店”的视频。一个粉丝不少的短视频博主，到一家火锅店去打卡探店。</w:t>
      </w:r>
    </w:p>
    <w:p w14:paraId="187406D9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在滤镜的加持下，每道菜品都被拍得色泽鲜亮，令人垂涎欲滴。</w:t>
      </w:r>
    </w:p>
    <w:p w14:paraId="5512C33C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博主的介绍下，这家火锅店不仅汤浓肉鲜、味道极佳，价格还十分便宜，“排队排断腿也值”。</w:t>
      </w:r>
    </w:p>
    <w:p w14:paraId="087B8A1A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我这位朋友，越看越馋，第二天就去吃了这家火锅。结果，就发现价格比探店视频里贵不少，味道远没有视频里面说的那么好，连牛肉吃起来都像是“复合肥牛卷”。</w:t>
      </w:r>
    </w:p>
    <w:p w14:paraId="7B24D7F4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其实，我想很多人也都刷到过类似的探店视频，而相关的乱象，近年来就有不少人关注过。</w:t>
      </w:r>
    </w:p>
    <w:p w14:paraId="2682029D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此前就曾有媒体报道，北京市的一家MCN机构旗下“视频带货达人”，以普通消费者身份发布视频，分享评价多家餐饮店铺的口味、服务水平，视频里还附加了相关购物链接，但也没有标注“广告”字样。</w:t>
      </w:r>
    </w:p>
    <w:p w14:paraId="284FEE0A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有消费者就留言，购买之后，发现店铺食品质量不达标、实际价格与推广视频里价格不相符。</w:t>
      </w:r>
    </w:p>
    <w:p w14:paraId="48B2CF87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于是这一问题，也被司法机关关注到。</w:t>
      </w:r>
    </w:p>
    <w:p w14:paraId="75540FA6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去年9月，北京铁路运输检察院通过这一媒体报道，发现了案件线索，随即进行公益诉讼立案，对北京市各大短视频平台“探店达人”的探店视频展开筛查，同时走访涉案MCN公司，调查其运行模式、广告承接及发布流程等。</w:t>
      </w:r>
    </w:p>
    <w:p w14:paraId="1B71F1BA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这一调查才发现，这一类视频，是由MCN机构接受相关店铺委托后拍摄的。但是，旗下的“达人”“网红”却以普通消费者身份在社交平台进行店铺分享，意图通过做出优质评价，诱导消费者进行消费。</w:t>
      </w:r>
    </w:p>
    <w:p w14:paraId="0F54453C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其实作为“网红”，为店铺做广告也不是不可以。但是，以这种侵害消费者知情权的方式做广告，毫无疑问，违反相关法律法规，损害社会公共利益。</w:t>
      </w:r>
    </w:p>
    <w:p w14:paraId="0F37EAF4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互联网广告管理办法》第九条就明确规定，通过知识介绍、体验分享、消费测评等形式推销商品或者服务，并附加购物链接等购买方式的，广告发布者应当显著标明“广告”字样。广告法也规定，广告应当具有可识别性，能够使消费者辨明其为广告。</w:t>
      </w:r>
    </w:p>
    <w:p w14:paraId="54780A78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于是，2023年9月21日，北京铁路运输检察院向市场监督管理部门制发检察建议，督促其对涉案广告发布者的违法行为进行查处，规范“达人探店”等行为。</w:t>
      </w:r>
    </w:p>
    <w:p w14:paraId="03E64437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收到检察建议后，市场监督管理部门立即调查涉案MCN机构旗下8名“达人”发布互联网广告方面的相关违法情况，对涉案MCN机构及旗下“达人”进行集中约谈，并制发《责令整改通知书》。同时在全区开展互联网广告专项整治工作，共查处互联网广告违法案件354件。</w:t>
      </w:r>
    </w:p>
    <w:p w14:paraId="5AC8E65C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办理一个案子，还要治理一类问题。北京铁路运输检察院在推动公益诉讼个案办理的同时，联动行政机关进一步规范辖区短视频广告发布行为。</w:t>
      </w:r>
    </w:p>
    <w:p w14:paraId="68E82408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是推动行政机关对辖区内MCN机构“探店达人”所推广的餐饮店铺食品安全问题常态检查；二是督促短视频平台加强引导MCN机构和“网红”“达人”合法合规开展营销宣传活动；三是加大对《互联网广告管理办法》等规定的宣传力度，培训相关从业人员1100余人次，提升互联网广告从业者合规经营意识。</w:t>
      </w:r>
    </w:p>
    <w:p w14:paraId="244C4415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互联网广告业已融入生产、流通、消费等诸环节。在这个案例中，检察机关能动履职，审慎界定“探店达人”较为隐蔽的违法推广行为，明确MCN机构作为广告发布者的主体责任，推动互联网广告发布管理新规有效实施。</w:t>
      </w:r>
    </w:p>
    <w:p w14:paraId="67F3E276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案件办理终结，并没有给这项工作画上句号，加强溯源治理才能从根本上解决问题。只有司法机关、行政机关，线上线下形成联动，才能真正保障消费者买得放心、吃得安全。</w:t>
      </w:r>
    </w:p>
    <w:p w14:paraId="4D056936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CF8B9"/>
    <w:rsid w:val="0035461C"/>
    <w:rsid w:val="00361004"/>
    <w:rsid w:val="009941F9"/>
    <w:rsid w:val="194700AA"/>
    <w:rsid w:val="353F23F3"/>
    <w:rsid w:val="4D7CF8B9"/>
    <w:rsid w:val="74B5C0EE"/>
    <w:rsid w:val="7B0BE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character" w:styleId="6">
    <w:name w:val="annotation reference"/>
    <w:basedOn w:val="5"/>
    <w:uiPriority w:val="0"/>
    <w:rPr>
      <w:sz w:val="21"/>
      <w:szCs w:val="21"/>
    </w:rPr>
  </w:style>
  <w:style w:type="character" w:customStyle="1" w:styleId="7">
    <w:name w:val="批注框文本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1402</Words>
  <Characters>1427</Characters>
  <Lines>10</Lines>
  <Paragraphs>2</Paragraphs>
  <TotalTime>23</TotalTime>
  <ScaleCrop>false</ScaleCrop>
  <LinksUpToDate>false</LinksUpToDate>
  <CharactersWithSpaces>1428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2024-06-19T13:36:00Z</dcterms:created>
  <dc:creator>Lnn</dc:creator>
  <cp:lastModifiedBy>nan</cp:lastModifiedBy>
  <dcterms:modified xsi:type="dcterms:W3CDTF">2025-05-06T00:55:40Z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0D44BE60C42E44E593B14200752578D8_13</vt:lpwstr>
  </property>
  <property fmtid="{D5CDD505-2E9C-101B-9397-08002B2CF9AE}" pid="4" name="KSOTemplateDocerSaveRecord">
    <vt:lpwstr>eyJoZGlkIjoiNzM4NjM2OWZkMWU5MmFlMWI1YTA2MzU5MmNhYzQyZTciLCJ1c2VySWQiOiIzODA4OTg0MzUifQ==</vt:lpwstr>
  </property>
</Properties>
</file>