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D8" w:rsidRDefault="004626AF">
      <w:pPr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X="250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"/>
        <w:gridCol w:w="2725"/>
        <w:gridCol w:w="1460"/>
        <w:gridCol w:w="893"/>
        <w:gridCol w:w="567"/>
        <w:gridCol w:w="2268"/>
      </w:tblGrid>
      <w:tr w:rsidR="00B00DD8">
        <w:trPr>
          <w:cantSplit/>
          <w:trHeight w:hRule="exact" w:val="726"/>
        </w:trPr>
        <w:tc>
          <w:tcPr>
            <w:tcW w:w="1301" w:type="dxa"/>
            <w:gridSpan w:val="2"/>
            <w:vMerge w:val="restart"/>
            <w:vAlign w:val="center"/>
          </w:tcPr>
          <w:p w:rsidR="00B00DD8" w:rsidRDefault="004626AF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B00DD8" w:rsidP="00CE6A1A">
            <w:pPr>
              <w:spacing w:line="380" w:lineRule="exact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00DD8" w:rsidRPr="00CE6A1A" w:rsidRDefault="004626AF">
            <w:pPr>
              <w:spacing w:line="3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美方制造矛盾的错误心态</w:t>
            </w:r>
          </w:p>
          <w:p w:rsidR="00B00DD8" w:rsidRPr="00CE6A1A" w:rsidRDefault="00CE6A1A">
            <w:pPr>
              <w:spacing w:line="38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贻害无穷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D8" w:rsidRDefault="004626AF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4626AF" w:rsidP="00CE6A1A">
            <w:pPr>
              <w:ind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国际传播</w:t>
            </w:r>
          </w:p>
        </w:tc>
      </w:tr>
      <w:tr w:rsidR="00B00DD8">
        <w:trPr>
          <w:cantSplit/>
          <w:trHeight w:hRule="exact" w:val="807"/>
        </w:trPr>
        <w:tc>
          <w:tcPr>
            <w:tcW w:w="1301" w:type="dxa"/>
            <w:gridSpan w:val="2"/>
            <w:vMerge/>
            <w:vAlign w:val="center"/>
          </w:tcPr>
          <w:p w:rsidR="00B00DD8" w:rsidRDefault="00B00DD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B00DD8" w:rsidP="00CE6A1A">
            <w:pPr>
              <w:spacing w:line="380" w:lineRule="exact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D8" w:rsidRDefault="004626AF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4626AF" w:rsidP="00CE6A1A">
            <w:pPr>
              <w:spacing w:line="380" w:lineRule="exact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评论</w:t>
            </w:r>
          </w:p>
        </w:tc>
      </w:tr>
      <w:tr w:rsidR="00B00DD8">
        <w:trPr>
          <w:cantSplit/>
          <w:trHeight w:hRule="exact" w:val="602"/>
        </w:trPr>
        <w:tc>
          <w:tcPr>
            <w:tcW w:w="1301" w:type="dxa"/>
            <w:gridSpan w:val="2"/>
            <w:vMerge/>
            <w:vAlign w:val="center"/>
          </w:tcPr>
          <w:p w:rsidR="00B00DD8" w:rsidRDefault="00B00DD8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B00DD8" w:rsidP="00CE6A1A">
            <w:pPr>
              <w:spacing w:line="380" w:lineRule="exact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Default="004626AF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4626AF" w:rsidP="00CE6A1A">
            <w:pPr>
              <w:spacing w:line="380" w:lineRule="exact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中文</w:t>
            </w:r>
          </w:p>
        </w:tc>
      </w:tr>
      <w:tr w:rsidR="00B00DD8">
        <w:trPr>
          <w:cantSplit/>
          <w:trHeight w:val="567"/>
        </w:trPr>
        <w:tc>
          <w:tcPr>
            <w:tcW w:w="1301" w:type="dxa"/>
            <w:gridSpan w:val="2"/>
            <w:vAlign w:val="center"/>
          </w:tcPr>
          <w:p w:rsidR="00B00DD8" w:rsidRDefault="004626AF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B00DD8" w:rsidRDefault="004626AF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4626AF">
            <w:pPr>
              <w:widowControl w:val="0"/>
              <w:tabs>
                <w:tab w:val="left" w:pos="1788"/>
              </w:tabs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胡泽曦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Default="004626AF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4626AF" w:rsidP="00492D21">
            <w:pPr>
              <w:spacing w:line="240" w:lineRule="exact"/>
              <w:ind w:firstLine="397"/>
              <w:rPr>
                <w:rFonts w:asciiTheme="minorEastAsia" w:eastAsiaTheme="minorEastAsia" w:hAnsiTheme="minorEastAsia"/>
                <w:color w:val="000000" w:themeColor="text1"/>
                <w:w w:val="95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w w:val="95"/>
                <w:szCs w:val="21"/>
              </w:rPr>
              <w:t>赵嘉鸣、吴绮敏、裴广江</w:t>
            </w:r>
          </w:p>
        </w:tc>
      </w:tr>
      <w:tr w:rsidR="00B00DD8">
        <w:trPr>
          <w:cantSplit/>
          <w:trHeight w:hRule="exact" w:val="850"/>
        </w:trPr>
        <w:tc>
          <w:tcPr>
            <w:tcW w:w="1301" w:type="dxa"/>
            <w:gridSpan w:val="2"/>
            <w:vAlign w:val="center"/>
          </w:tcPr>
          <w:p w:rsidR="00B00DD8" w:rsidRDefault="004626AF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4626AF" w:rsidP="00CE6A1A">
            <w:pPr>
              <w:spacing w:line="380" w:lineRule="exact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人民日报社</w:t>
            </w:r>
          </w:p>
          <w:p w:rsidR="00B00DD8" w:rsidRPr="00CE6A1A" w:rsidRDefault="00B00DD8" w:rsidP="00CE6A1A">
            <w:pPr>
              <w:spacing w:line="380" w:lineRule="exact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Default="004626AF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4626AF" w:rsidP="00CE6A1A">
            <w:pPr>
              <w:spacing w:line="380" w:lineRule="exact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2020年3月18日</w:t>
            </w:r>
          </w:p>
        </w:tc>
      </w:tr>
      <w:tr w:rsidR="00B00DD8">
        <w:trPr>
          <w:cantSplit/>
          <w:trHeight w:hRule="exact" w:val="992"/>
        </w:trPr>
        <w:tc>
          <w:tcPr>
            <w:tcW w:w="1301" w:type="dxa"/>
            <w:gridSpan w:val="2"/>
            <w:vAlign w:val="center"/>
          </w:tcPr>
          <w:p w:rsidR="00B00DD8" w:rsidRDefault="004626AF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4626AF" w:rsidP="00CE6A1A">
            <w:pPr>
              <w:spacing w:line="380" w:lineRule="exact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要闻3版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Default="004626AF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D8" w:rsidRPr="00CE6A1A" w:rsidRDefault="004626AF" w:rsidP="00CE6A1A">
            <w:pPr>
              <w:spacing w:line="380" w:lineRule="exact"/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1130</w:t>
            </w:r>
            <w:r w:rsidR="0084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字</w:t>
            </w:r>
            <w:bookmarkStart w:id="0" w:name="_GoBack"/>
            <w:bookmarkEnd w:id="0"/>
          </w:p>
        </w:tc>
      </w:tr>
      <w:tr w:rsidR="00B00DD8">
        <w:trPr>
          <w:trHeight w:hRule="exact" w:val="4135"/>
        </w:trPr>
        <w:tc>
          <w:tcPr>
            <w:tcW w:w="851" w:type="dxa"/>
            <w:vAlign w:val="center"/>
          </w:tcPr>
          <w:p w:rsidR="00B00DD8" w:rsidRDefault="004626AF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B00DD8" w:rsidRDefault="004626AF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B00DD8" w:rsidRDefault="004626AF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B00DD8" w:rsidRDefault="004626AF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B00DD8" w:rsidRDefault="004626AF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B00DD8" w:rsidRDefault="004626AF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8" w:rsidRPr="00CE6A1A" w:rsidRDefault="004626AF" w:rsidP="00CE6A1A">
            <w:pPr>
              <w:spacing w:line="380" w:lineRule="exact"/>
              <w:ind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cs="仿宋" w:hint="eastAsia"/>
                <w:color w:val="000000" w:themeColor="text1"/>
                <w:szCs w:val="21"/>
              </w:rPr>
              <w:t>2020年初，美国特朗普政府出于冷战思维和意识形态偏见，不断升级对中国媒体的政治打压。当年3月，美方严重升级事态，对5家中国媒体驻美机构采取人数限制措施，变相“驱逐”60名中方媒体记者，在国际舆论场引发轩然大波。中方第一时间就美方错误做法向美方提出严正交涉，表达坚决反对和强烈谴责，并强调保留作出反应和采取措施的权利。当月18日，针对美方无理举动，中方宣布一系列反制措施，坚决捍卫中方媒体的正当权益。人民日报密切关注美方挑起并升级对华“媒体战”相关动态，科学研判国际舆论对美方举动的反应，抓住中方出台反制措施这一重要节点，组织撰写《美方制造矛盾的错误心态贻害无穷》一文，于18日在《人民日报》要闻3版“钟声”栏目刊出，真正起到了有效配合外交工作大局的作用。</w:t>
            </w:r>
          </w:p>
        </w:tc>
      </w:tr>
      <w:tr w:rsidR="00B00DD8">
        <w:trPr>
          <w:cantSplit/>
          <w:trHeight w:hRule="exact" w:val="4774"/>
        </w:trPr>
        <w:tc>
          <w:tcPr>
            <w:tcW w:w="851" w:type="dxa"/>
            <w:vAlign w:val="center"/>
          </w:tcPr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8" w:rsidRPr="00CE6A1A" w:rsidRDefault="004626AF" w:rsidP="00CE6A1A">
            <w:pPr>
              <w:spacing w:line="380" w:lineRule="exact"/>
              <w:ind w:firstLine="420"/>
              <w:rPr>
                <w:rFonts w:asciiTheme="minorEastAsia" w:eastAsiaTheme="minorEastAsia" w:hAnsiTheme="minorEastAsia" w:cs="仿宋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cs="仿宋" w:hint="eastAsia"/>
                <w:color w:val="000000" w:themeColor="text1"/>
                <w:szCs w:val="21"/>
              </w:rPr>
              <w:t>《美方制造矛盾的错误心态贻害无穷》一文从美方举动反映意识形态霸权、破坏中美社会人文交往、损害中美整体关系等多个维度，全方位揭露美方举动的消极本质，戳破美方试图借“媒体战”挑起所谓中美“模式之争”的险恶用心，有理有力维护中国媒体的正当权益，为中方推出反制措施进行有效舆论配合，积极抢占国际道义制高点。</w:t>
            </w:r>
          </w:p>
          <w:p w:rsidR="00B00DD8" w:rsidRDefault="004626AF" w:rsidP="00CE6A1A">
            <w:pPr>
              <w:spacing w:line="380" w:lineRule="exact"/>
              <w:ind w:firstLine="420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CE6A1A">
              <w:rPr>
                <w:rFonts w:asciiTheme="minorEastAsia" w:eastAsiaTheme="minorEastAsia" w:hAnsiTheme="minorEastAsia" w:cs="仿宋" w:hint="eastAsia"/>
                <w:color w:val="000000" w:themeColor="text1"/>
                <w:szCs w:val="21"/>
              </w:rPr>
              <w:t>《人民日报》充分利用报纸版面、各新媒体平台以及各外宣渠道，积极扩大此文的对内对外传播效果。文章刊发后，真正起到了引领国内舆论、影响国际舆论的作用，国内主要新闻网站、客户端纷纷转发此文，各大国际媒体也重点关注此文，大量转引该文内容，借以介绍中方在相关问题上的立场。</w:t>
            </w:r>
          </w:p>
        </w:tc>
      </w:tr>
      <w:tr w:rsidR="00B00DD8">
        <w:trPr>
          <w:cantSplit/>
          <w:trHeight w:hRule="exact" w:val="5498"/>
        </w:trPr>
        <w:tc>
          <w:tcPr>
            <w:tcW w:w="851" w:type="dxa"/>
            <w:vAlign w:val="center"/>
          </w:tcPr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lastRenderedPageBreak/>
              <w:t>社</w:t>
            </w:r>
          </w:p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8" w:rsidRPr="00CE6A1A" w:rsidRDefault="004626AF" w:rsidP="00CE6A1A">
            <w:pPr>
              <w:spacing w:line="380" w:lineRule="exact"/>
              <w:ind w:firstLine="420"/>
              <w:rPr>
                <w:rFonts w:asciiTheme="minorEastAsia" w:eastAsiaTheme="minorEastAsia" w:hAnsiTheme="minorEastAsia" w:cs="仿宋"/>
                <w:color w:val="000000" w:themeColor="text1"/>
                <w:szCs w:val="21"/>
              </w:rPr>
            </w:pPr>
            <w:r w:rsidRPr="00CE6A1A">
              <w:rPr>
                <w:rFonts w:asciiTheme="minorEastAsia" w:eastAsiaTheme="minorEastAsia" w:hAnsiTheme="minorEastAsia" w:cs="仿宋" w:hint="eastAsia"/>
                <w:color w:val="000000" w:themeColor="text1"/>
                <w:szCs w:val="21"/>
              </w:rPr>
              <w:t>美国国务院高级官员在3月18日就中国反制措施举行新闻发布会时专门引用这篇“钟声”评论“美方选择在此时搞变相驱逐，其实质完全是政治打压”一句，特别说明是《人民日报》当天发表的评论，并对此进行狡辩。据不完全统计，美国、加拿大、印度、墨西哥、菲律宾、阿联酋、英国、孟加拉国等国的近200家英文媒体及网站主动转引，共在海外落地217次，转引媒体包括美联社、美国广播公司、《纽约时报》、《华盛顿时报》、加拿大电视台、《印度教徒报》、英国《独立报》等</w:t>
            </w:r>
            <w:r w:rsidRPr="00CE6A1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CE6A1A">
              <w:rPr>
                <w:rFonts w:asciiTheme="minorEastAsia" w:eastAsiaTheme="minorEastAsia" w:hAnsiTheme="minorEastAsia" w:cs="仿宋" w:hint="eastAsia"/>
                <w:color w:val="000000" w:themeColor="text1"/>
                <w:szCs w:val="21"/>
              </w:rPr>
              <w:t>（转载链接另附）。</w:t>
            </w:r>
          </w:p>
          <w:p w:rsidR="00B00DD8" w:rsidRDefault="004626AF" w:rsidP="00CE6A1A">
            <w:pPr>
              <w:spacing w:line="380" w:lineRule="exact"/>
              <w:ind w:firstLine="420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CE6A1A">
              <w:rPr>
                <w:rFonts w:asciiTheme="minorEastAsia" w:eastAsiaTheme="minorEastAsia" w:hAnsiTheme="minorEastAsia" w:cs="仿宋" w:hint="eastAsia"/>
                <w:color w:val="000000" w:themeColor="text1"/>
                <w:szCs w:val="21"/>
              </w:rPr>
              <w:t>路透社专门就该“钟声”文章发稿指出，《人民日报》刊登署名“钟声”的评论文章称，美方制造矛盾的错误心态贻害无穷，在当前中美关系形势下，美方此举影响显然不仅局限于媒体领域，势必会给两国关系带来负面影响和新的不确定性，“围绕变相驱逐中国记者一事，美方一些人在公开造势时肆意放大媒体之争，其实是为了鼓噪所谓‘模式之争’”。美联社相关报道指出，《人民日报》在评论文章中强调，“中国媒体驻美记者严格遵守美国法律法规，恪守新闻职业道德，秉持客观、公正、真实、准确的原则在美国开展新闻工作”。</w:t>
            </w:r>
          </w:p>
        </w:tc>
      </w:tr>
      <w:tr w:rsidR="00B00DD8">
        <w:trPr>
          <w:cantSplit/>
          <w:trHeight w:hRule="exact" w:val="2813"/>
        </w:trPr>
        <w:tc>
          <w:tcPr>
            <w:tcW w:w="851" w:type="dxa"/>
            <w:vAlign w:val="center"/>
          </w:tcPr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B00DD8" w:rsidRDefault="004626AF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B00DD8" w:rsidRDefault="004626AF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D8" w:rsidRPr="00CE6A1A" w:rsidRDefault="004626AF" w:rsidP="00CE6A1A">
            <w:pPr>
              <w:spacing w:line="360" w:lineRule="exact"/>
              <w:ind w:firstLine="420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CE6A1A">
              <w:rPr>
                <w:rFonts w:asciiTheme="minorEastAsia" w:eastAsiaTheme="minorEastAsia" w:hAnsiTheme="minorEastAsia" w:cs="仿宋" w:hint="eastAsia"/>
                <w:color w:val="000000" w:themeColor="text1"/>
                <w:szCs w:val="21"/>
              </w:rPr>
              <w:t>此文在重大涉我问题上权威发声，坚决维护中方正当权益，牢牢占据了国际道义制高点。文章刊发后引起国际舆论广泛关注，真正起到了有效配合外交工作大局的关键作用。</w:t>
            </w:r>
          </w:p>
          <w:p w:rsidR="00B00DD8" w:rsidRDefault="00B00DD8">
            <w:pPr>
              <w:spacing w:line="360" w:lineRule="exact"/>
              <w:ind w:firstLineChars="1400" w:firstLine="3024"/>
              <w:rPr>
                <w:rFonts w:ascii="华文中宋" w:eastAsia="华文中宋" w:hAnsi="华文中宋"/>
                <w:spacing w:val="-2"/>
                <w:sz w:val="22"/>
              </w:rPr>
            </w:pPr>
          </w:p>
          <w:p w:rsidR="00B00DD8" w:rsidRDefault="004626AF">
            <w:pPr>
              <w:spacing w:line="360" w:lineRule="exact"/>
              <w:ind w:firstLineChars="1400" w:firstLine="3024"/>
              <w:rPr>
                <w:rFonts w:ascii="华文中宋" w:eastAsia="华文中宋" w:hAnsi="华文中宋"/>
                <w:spacing w:val="-2"/>
                <w:sz w:val="22"/>
              </w:rPr>
            </w:pPr>
            <w:r>
              <w:rPr>
                <w:rFonts w:ascii="华文中宋" w:eastAsia="华文中宋" w:hAnsi="华文中宋" w:hint="eastAsia"/>
                <w:spacing w:val="-2"/>
                <w:sz w:val="22"/>
              </w:rPr>
              <w:t>签名：</w:t>
            </w:r>
          </w:p>
          <w:p w:rsidR="00B00DD8" w:rsidRDefault="004626AF">
            <w:pPr>
              <w:spacing w:line="360" w:lineRule="exact"/>
              <w:ind w:firstLineChars="1950" w:firstLine="4290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（盖单位公章）</w:t>
            </w:r>
          </w:p>
          <w:p w:rsidR="00B00DD8" w:rsidRDefault="004626AF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2"/>
              </w:rPr>
              <w:t>20</w:t>
            </w:r>
            <w:r>
              <w:rPr>
                <w:rFonts w:ascii="华文中宋" w:eastAsia="华文中宋" w:hAnsi="华文中宋" w:hint="eastAsia"/>
                <w:sz w:val="22"/>
              </w:rPr>
              <w:t>2</w:t>
            </w:r>
            <w:r>
              <w:rPr>
                <w:rFonts w:ascii="华文中宋" w:eastAsia="华文中宋" w:hAnsi="华文中宋"/>
                <w:sz w:val="22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2"/>
              </w:rPr>
              <w:t>月</w:t>
            </w:r>
            <w:r>
              <w:rPr>
                <w:rFonts w:ascii="华文中宋" w:eastAsia="华文中宋" w:hAnsi="华文中宋"/>
                <w:sz w:val="22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2"/>
              </w:rPr>
              <w:t>日</w:t>
            </w:r>
          </w:p>
        </w:tc>
      </w:tr>
      <w:tr w:rsidR="00B00DD8">
        <w:trPr>
          <w:cantSplit/>
          <w:trHeight w:val="465"/>
        </w:trPr>
        <w:tc>
          <w:tcPr>
            <w:tcW w:w="9214" w:type="dxa"/>
            <w:gridSpan w:val="7"/>
            <w:tcBorders>
              <w:left w:val="nil"/>
              <w:bottom w:val="nil"/>
              <w:right w:val="nil"/>
            </w:tcBorders>
          </w:tcPr>
          <w:p w:rsidR="00B00DD8" w:rsidRDefault="00B00DD8">
            <w:pPr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</w:p>
        </w:tc>
      </w:tr>
    </w:tbl>
    <w:p w:rsidR="00B00DD8" w:rsidRDefault="00B00DD8">
      <w:pPr>
        <w:ind w:firstLineChars="0" w:firstLine="0"/>
      </w:pPr>
    </w:p>
    <w:sectPr w:rsidR="00B00DD8">
      <w:pgSz w:w="12962" w:h="1728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F"/>
    <w:rsid w:val="00093FB2"/>
    <w:rsid w:val="002F629C"/>
    <w:rsid w:val="00306092"/>
    <w:rsid w:val="004626AF"/>
    <w:rsid w:val="00492D21"/>
    <w:rsid w:val="00847F08"/>
    <w:rsid w:val="008E73EF"/>
    <w:rsid w:val="00B00DD8"/>
    <w:rsid w:val="00B4089B"/>
    <w:rsid w:val="00CD5FB2"/>
    <w:rsid w:val="00CE6A1A"/>
    <w:rsid w:val="0EDA67D3"/>
    <w:rsid w:val="207A721E"/>
    <w:rsid w:val="232C333A"/>
    <w:rsid w:val="27B30D38"/>
    <w:rsid w:val="333534AD"/>
    <w:rsid w:val="3B5079C2"/>
    <w:rsid w:val="46DC63B5"/>
    <w:rsid w:val="4AC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rmrb-NB</cp:lastModifiedBy>
  <cp:revision>6</cp:revision>
  <dcterms:created xsi:type="dcterms:W3CDTF">2021-05-18T15:14:00Z</dcterms:created>
  <dcterms:modified xsi:type="dcterms:W3CDTF">2021-05-19T11:01:00Z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