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B6" w:rsidRDefault="007A0AB6">
      <w:pPr>
        <w:spacing w:line="380" w:lineRule="exact"/>
        <w:ind w:firstLineChars="200" w:firstLine="880"/>
        <w:jc w:val="center"/>
        <w:rPr>
          <w:rFonts w:ascii="华文中宋" w:eastAsia="华文中宋" w:hAnsi="华文中宋"/>
          <w:color w:val="000000"/>
          <w:kern w:val="2"/>
          <w:sz w:val="44"/>
          <w:szCs w:val="44"/>
        </w:rPr>
      </w:pPr>
    </w:p>
    <w:p w:rsidR="000C0F22" w:rsidRDefault="000D40B0">
      <w:pPr>
        <w:spacing w:line="380" w:lineRule="exact"/>
        <w:ind w:firstLineChars="200" w:firstLine="880"/>
        <w:jc w:val="center"/>
        <w:rPr>
          <w:rFonts w:ascii="华文中宋" w:eastAsia="华文中宋" w:hAnsi="华文中宋"/>
          <w:color w:val="000000"/>
          <w:kern w:val="2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kern w:val="2"/>
          <w:sz w:val="44"/>
          <w:szCs w:val="44"/>
        </w:rPr>
        <w:t>中国新闻奖参评作品推荐表</w:t>
      </w:r>
    </w:p>
    <w:p w:rsidR="000C0F22" w:rsidRDefault="000C0F22">
      <w:pPr>
        <w:spacing w:line="380" w:lineRule="exact"/>
        <w:ind w:firstLineChars="200" w:firstLine="480"/>
        <w:jc w:val="center"/>
        <w:rPr>
          <w:rFonts w:ascii="华文中宋" w:eastAsia="华文中宋" w:hAnsi="华文中宋"/>
          <w:color w:val="000000"/>
          <w:kern w:val="2"/>
        </w:rPr>
      </w:pPr>
    </w:p>
    <w:p w:rsidR="007A0AB6" w:rsidRPr="007A0AB6" w:rsidRDefault="007A0AB6">
      <w:pPr>
        <w:spacing w:line="380" w:lineRule="exact"/>
        <w:ind w:firstLineChars="200" w:firstLine="480"/>
        <w:jc w:val="center"/>
        <w:rPr>
          <w:rFonts w:ascii="华文中宋" w:eastAsia="华文中宋" w:hAnsi="华文中宋"/>
          <w:color w:val="000000"/>
          <w:kern w:val="2"/>
        </w:rPr>
      </w:pPr>
    </w:p>
    <w:tbl>
      <w:tblPr>
        <w:tblW w:w="5103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741"/>
        <w:gridCol w:w="2395"/>
        <w:gridCol w:w="1240"/>
        <w:gridCol w:w="1239"/>
        <w:gridCol w:w="2068"/>
      </w:tblGrid>
      <w:tr w:rsidR="000C0F22" w:rsidTr="007A0AB6">
        <w:trPr>
          <w:cantSplit/>
          <w:trHeight w:hRule="exact" w:val="627"/>
          <w:jc w:val="center"/>
        </w:trPr>
        <w:tc>
          <w:tcPr>
            <w:tcW w:w="1009" w:type="pct"/>
            <w:gridSpan w:val="2"/>
            <w:vMerge w:val="restart"/>
            <w:vAlign w:val="center"/>
          </w:tcPr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作品标题</w:t>
            </w:r>
          </w:p>
        </w:tc>
        <w:tc>
          <w:tcPr>
            <w:tcW w:w="2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长江禁渔，为何还有禁而不止的现象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参评项目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Pr="007A0AB6" w:rsidRDefault="000D40B0" w:rsidP="007A0AB6"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 w:rsidRPr="007A0AB6">
              <w:rPr>
                <w:rFonts w:ascii="宋体" w:hAnsi="宋体" w:hint="eastAsia"/>
              </w:rPr>
              <w:t>通讯与深度报道</w:t>
            </w:r>
          </w:p>
        </w:tc>
      </w:tr>
      <w:tr w:rsidR="000C0F22" w:rsidTr="007A0AB6">
        <w:trPr>
          <w:cantSplit/>
          <w:trHeight w:hRule="exact" w:val="1185"/>
          <w:jc w:val="center"/>
        </w:trPr>
        <w:tc>
          <w:tcPr>
            <w:tcW w:w="1009" w:type="pct"/>
            <w:gridSpan w:val="2"/>
            <w:vMerge/>
            <w:vAlign w:val="center"/>
          </w:tcPr>
          <w:p w:rsidR="000C0F22" w:rsidRDefault="000C0F22" w:rsidP="007A0AB6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09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Default="000C0F22">
            <w:pPr>
              <w:snapToGrid w:val="0"/>
              <w:spacing w:line="400" w:lineRule="exact"/>
              <w:jc w:val="both"/>
              <w:rPr>
                <w:rFonts w:ascii="华文中宋" w:eastAsia="华文中宋" w:hAnsi="华文中宋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体裁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F22" w:rsidRPr="007A0AB6" w:rsidRDefault="00572AD9" w:rsidP="007A0AB6">
            <w:pPr>
              <w:widowControl w:val="0"/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 w:rsidRPr="007A0AB6">
              <w:rPr>
                <w:rFonts w:ascii="宋体" w:hAnsi="宋体" w:hint="eastAsia"/>
              </w:rPr>
              <w:t>通讯与深度报道</w:t>
            </w:r>
          </w:p>
        </w:tc>
      </w:tr>
      <w:tr w:rsidR="000C0F22" w:rsidTr="007A0AB6">
        <w:trPr>
          <w:cantSplit/>
          <w:trHeight w:hRule="exact" w:val="637"/>
          <w:jc w:val="center"/>
        </w:trPr>
        <w:tc>
          <w:tcPr>
            <w:tcW w:w="1009" w:type="pct"/>
            <w:gridSpan w:val="2"/>
            <w:vMerge/>
            <w:vAlign w:val="center"/>
          </w:tcPr>
          <w:p w:rsidR="000C0F22" w:rsidRDefault="000C0F22" w:rsidP="007A0AB6">
            <w:pPr>
              <w:spacing w:line="38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0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Default="000C0F22">
            <w:pPr>
              <w:snapToGrid w:val="0"/>
              <w:spacing w:line="400" w:lineRule="exact"/>
              <w:jc w:val="both"/>
              <w:rPr>
                <w:rFonts w:ascii="华文中宋" w:eastAsia="华文中宋" w:hAnsi="华文中宋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语种</w:t>
            </w:r>
          </w:p>
        </w:tc>
        <w:tc>
          <w:tcPr>
            <w:tcW w:w="1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7A0AB6" w:rsidRDefault="000D40B0" w:rsidP="007A0AB6"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 w:rsidRPr="007A0AB6">
              <w:rPr>
                <w:rFonts w:ascii="宋体" w:hAnsi="宋体" w:hint="eastAsia"/>
              </w:rPr>
              <w:t>中文（汉语）</w:t>
            </w:r>
          </w:p>
        </w:tc>
      </w:tr>
      <w:tr w:rsidR="000C0F22" w:rsidTr="007A0AB6">
        <w:trPr>
          <w:cantSplit/>
          <w:trHeight w:val="1020"/>
          <w:jc w:val="center"/>
        </w:trPr>
        <w:tc>
          <w:tcPr>
            <w:tcW w:w="1009" w:type="pct"/>
            <w:gridSpan w:val="2"/>
            <w:vAlign w:val="center"/>
          </w:tcPr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作者</w:t>
            </w:r>
          </w:p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  <w:spacing w:val="-12"/>
              </w:rPr>
            </w:pPr>
            <w:r>
              <w:rPr>
                <w:rFonts w:ascii="华文中宋" w:eastAsia="华文中宋" w:hAnsi="华文中宋" w:hint="eastAsia"/>
              </w:rPr>
              <w:t>（主创人员）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金正波、田豆豆、王伟健、田先进、范昊天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编辑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李宝善、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庹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震、赵嘉鸣、张毅、廖文根、黄庆畅</w:t>
            </w:r>
          </w:p>
        </w:tc>
      </w:tr>
      <w:tr w:rsidR="000C0F22" w:rsidTr="007A0AB6">
        <w:trPr>
          <w:cantSplit/>
          <w:trHeight w:hRule="exact" w:val="624"/>
          <w:jc w:val="center"/>
        </w:trPr>
        <w:tc>
          <w:tcPr>
            <w:tcW w:w="1009" w:type="pct"/>
            <w:gridSpan w:val="2"/>
            <w:vAlign w:val="center"/>
          </w:tcPr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刊播单位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7A0AB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人民日报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刊播日期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EC0D85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2020年6月29日</w:t>
            </w:r>
          </w:p>
        </w:tc>
      </w:tr>
      <w:tr w:rsidR="000C0F22" w:rsidTr="007A0AB6">
        <w:trPr>
          <w:cantSplit/>
          <w:trHeight w:hRule="exact" w:val="1297"/>
          <w:jc w:val="center"/>
        </w:trPr>
        <w:tc>
          <w:tcPr>
            <w:tcW w:w="1009" w:type="pct"/>
            <w:gridSpan w:val="2"/>
            <w:vAlign w:val="center"/>
          </w:tcPr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刊播版</w:t>
            </w:r>
          </w:p>
          <w:p w:rsidR="000C0F22" w:rsidRDefault="000D40B0" w:rsidP="007A0AB6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(名称和版次)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7A0AB6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读者来信7版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作品字数</w:t>
            </w:r>
          </w:p>
          <w:p w:rsidR="000C0F22" w:rsidRDefault="000D40B0" w:rsidP="007A0AB6">
            <w:pPr>
              <w:snapToGrid w:val="0"/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（时长）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EC0D85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3590</w:t>
            </w:r>
            <w:bookmarkStart w:id="0" w:name="_GoBack"/>
            <w:bookmarkEnd w:id="0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字</w:t>
            </w:r>
          </w:p>
        </w:tc>
      </w:tr>
      <w:tr w:rsidR="000C0F22" w:rsidTr="007A0AB6">
        <w:trPr>
          <w:cantSplit/>
          <w:trHeight w:hRule="exact" w:val="4165"/>
          <w:jc w:val="center"/>
        </w:trPr>
        <w:tc>
          <w:tcPr>
            <w:tcW w:w="583" w:type="pct"/>
            <w:vAlign w:val="center"/>
          </w:tcPr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︵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采作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编品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过简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</w:rPr>
              <w:t>介</w:t>
            </w:r>
            <w:proofErr w:type="gramEnd"/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>
              <w:rPr>
                <w:rFonts w:ascii="华文中宋" w:eastAsia="华文中宋" w:hAnsi="华文中宋"/>
              </w:rPr>
              <w:t xml:space="preserve"> </w:t>
            </w:r>
            <w:r>
              <w:rPr>
                <w:rFonts w:ascii="华文中宋" w:eastAsia="华文中宋" w:hAnsi="华文中宋" w:hint="eastAsia"/>
              </w:rPr>
              <w:t>︶</w:t>
            </w:r>
          </w:p>
        </w:tc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长江禁渔是为全局计、为子孙谋的重要决策，2020年是实施长江十年“禁渔令”的第一年。去年6月，根据社领导部署，记者深入调查该政策的贯彻落实情况，撰写了这篇报道。</w:t>
            </w:r>
          </w:p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受疫情、汛情影响，采访调查存在诸多不便。但是，读者来信编辑室的记者努力克服困难，加强与湖北、江苏、安徽等分社的联动协作，实地走访长江沿岸，同退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捕渔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民、饭店老板、农贸市场商贩等广泛交流，并且深入采访相关省、市的农业农村（包括渔政）、公安、市场监管等部门，确保舆论监督的全面、客观、准确。</w:t>
            </w:r>
          </w:p>
          <w:p w:rsidR="000C0F22" w:rsidRDefault="000D40B0" w:rsidP="00572AD9">
            <w:pPr>
              <w:widowControl w:val="0"/>
              <w:ind w:firstLineChars="200" w:firstLine="420"/>
              <w:jc w:val="both"/>
              <w:rPr>
                <w:rFonts w:ascii="宋体" w:hAnsi="宋体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根据调查情况，这篇报道指出，禁令之下，依然有人铤而走险，非法捕捞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野生江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鲜。同时，长江十年“禁渔令”的实施对渔政执法部门提出了更高要求。长江水域点多面广，渔政执法面临新挑战，人手少、装备不足等问题凸显，亟须加以解决。</w:t>
            </w:r>
          </w:p>
        </w:tc>
      </w:tr>
      <w:tr w:rsidR="000C0F22" w:rsidTr="007A0AB6">
        <w:trPr>
          <w:cantSplit/>
          <w:trHeight w:hRule="exact" w:val="2409"/>
          <w:jc w:val="center"/>
        </w:trPr>
        <w:tc>
          <w:tcPr>
            <w:tcW w:w="583" w:type="pct"/>
            <w:vAlign w:val="center"/>
          </w:tcPr>
          <w:p w:rsidR="000C0F22" w:rsidRDefault="000D40B0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全传</w:t>
            </w:r>
          </w:p>
          <w:p w:rsidR="000C0F22" w:rsidRDefault="000D40B0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媒播</w:t>
            </w:r>
          </w:p>
          <w:p w:rsidR="000C0F22" w:rsidRDefault="000D40B0">
            <w:pPr>
              <w:widowControl w:val="0"/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体实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>
              <w:rPr>
                <w:rFonts w:ascii="华文中宋" w:eastAsia="华文中宋" w:hAnsi="华文中宋"/>
              </w:rPr>
              <w:t xml:space="preserve"> </w:t>
            </w:r>
            <w:r>
              <w:rPr>
                <w:rFonts w:ascii="华文中宋" w:eastAsia="华文中宋" w:hAnsi="华文中宋" w:hint="eastAsia"/>
              </w:rPr>
              <w:t>效</w:t>
            </w:r>
          </w:p>
        </w:tc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这篇报道见报后，“学习强国”平台、人民网、新华网、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凤凰网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等诸多媒体转载转发。很多网友积极评价，留言称赞说“人民日报报道及时，希望长江早日重现活力”“报道说出了群众的心里话，长江是需要好好治理了”。</w:t>
            </w:r>
          </w:p>
        </w:tc>
      </w:tr>
      <w:tr w:rsidR="000C0F22" w:rsidTr="007A0AB6">
        <w:trPr>
          <w:cantSplit/>
          <w:trHeight w:hRule="exact" w:val="4405"/>
          <w:jc w:val="center"/>
        </w:trPr>
        <w:tc>
          <w:tcPr>
            <w:tcW w:w="583" w:type="pct"/>
            <w:vAlign w:val="center"/>
          </w:tcPr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lastRenderedPageBreak/>
              <w:t>社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效</w:t>
            </w:r>
            <w:proofErr w:type="gramEnd"/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果</w:t>
            </w:r>
          </w:p>
        </w:tc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今年6月28日，中央领导同志出席长江流域重点水域禁捕和退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捕渔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民安置保障工作推进电视电话会议并讲话。7月4日，国务院办公厅印发《关于切实做好长江流域禁捕有关工作的通知》。这篇报道的及时刊登，很好地体现了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时度效原则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，有力配合了党中央、国务院的相关决策部署。</w:t>
            </w:r>
          </w:p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报道见报后，引起广泛关注。农业农村部、国家市场监管总局、公安部等部门领导同志就长江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禁捕退捕行动作出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表态，7月20日读者来信版予以刊发。此外，安徽、江苏等地在部署开展禁渔工作时，均提及这组调研报道，一些基层单位还进行了集中学习。</w:t>
            </w:r>
          </w:p>
          <w:p w:rsidR="000C0F22" w:rsidRDefault="000D40B0" w:rsidP="00572AD9">
            <w:pPr>
              <w:widowControl w:val="0"/>
              <w:ind w:firstLineChars="200" w:firstLine="420"/>
              <w:jc w:val="both"/>
              <w:rPr>
                <w:rFonts w:ascii="宋体" w:hAnsi="宋体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此外，这篇报道见报后，本报还陆续刊发跟踪报道《让“禁渔令”落地有声》《如何打赢长江禁捕退捕攻坚战》，深入分析问题、提出意见建议，形成舆论监督的闭环。</w:t>
            </w:r>
          </w:p>
        </w:tc>
      </w:tr>
      <w:tr w:rsidR="000C0F22" w:rsidTr="007A0AB6">
        <w:trPr>
          <w:cantSplit/>
          <w:trHeight w:hRule="exact" w:val="3553"/>
          <w:jc w:val="center"/>
        </w:trPr>
        <w:tc>
          <w:tcPr>
            <w:tcW w:w="583" w:type="pct"/>
            <w:vAlign w:val="center"/>
          </w:tcPr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推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荐</w:t>
            </w:r>
            <w:proofErr w:type="gramEnd"/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理</w:t>
            </w:r>
          </w:p>
          <w:p w:rsidR="000C0F22" w:rsidRDefault="000D40B0">
            <w:pPr>
              <w:spacing w:line="3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由</w:t>
            </w:r>
          </w:p>
        </w:tc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6" w:rsidRPr="00572AD9" w:rsidRDefault="007A0AB6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C0F22" w:rsidRPr="00572AD9" w:rsidRDefault="000D40B0" w:rsidP="00572AD9">
            <w:pPr>
              <w:widowControl w:val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这篇调查报道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选题抓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得好，内容做得实，对习近平总书记重要讲话精神和中央有关决策部署研究得及时、认识得深入、把握得准确，有力推动了有关地方、部门扎实开展长江</w:t>
            </w:r>
            <w:proofErr w:type="gramStart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禁捕退捕工作</w:t>
            </w:r>
            <w:proofErr w:type="gramEnd"/>
            <w:r w:rsidRPr="00572AD9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7A0AB6" w:rsidRDefault="007A0AB6" w:rsidP="007A0AB6">
            <w:pPr>
              <w:widowControl w:val="0"/>
              <w:ind w:firstLineChars="200" w:firstLine="480"/>
              <w:jc w:val="both"/>
              <w:rPr>
                <w:rFonts w:ascii="宋体" w:hAnsi="宋体"/>
              </w:rPr>
            </w:pPr>
          </w:p>
          <w:p w:rsidR="007A0AB6" w:rsidRDefault="007A0AB6" w:rsidP="007A0AB6">
            <w:pPr>
              <w:widowControl w:val="0"/>
              <w:ind w:firstLineChars="200" w:firstLine="480"/>
              <w:jc w:val="both"/>
              <w:rPr>
                <w:rFonts w:ascii="宋体" w:hAnsi="宋体"/>
              </w:rPr>
            </w:pPr>
          </w:p>
          <w:p w:rsidR="000C0F22" w:rsidRDefault="000D40B0" w:rsidP="007A0AB6">
            <w:pPr>
              <w:spacing w:line="360" w:lineRule="exact"/>
              <w:ind w:firstLineChars="1400" w:firstLine="336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  <w:p w:rsidR="007A0AB6" w:rsidRDefault="007A0AB6" w:rsidP="007A0AB6">
            <w:pPr>
              <w:spacing w:line="360" w:lineRule="exact"/>
              <w:ind w:firstLineChars="1400" w:firstLine="3360"/>
              <w:jc w:val="both"/>
              <w:rPr>
                <w:rFonts w:ascii="宋体" w:hAnsi="宋体"/>
              </w:rPr>
            </w:pPr>
          </w:p>
          <w:p w:rsidR="000C0F22" w:rsidRDefault="000D40B0" w:rsidP="007A0AB6">
            <w:pPr>
              <w:spacing w:line="360" w:lineRule="exact"/>
              <w:ind w:firstLineChars="1950" w:firstLine="468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（盖单位公章）</w:t>
            </w:r>
          </w:p>
          <w:p w:rsidR="000C0F22" w:rsidRDefault="000D40B0" w:rsidP="00572AD9">
            <w:pPr>
              <w:spacing w:line="360" w:lineRule="exact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1年</w:t>
            </w:r>
            <w:r w:rsidR="00572AD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 w:rsidR="00572AD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C0F22" w:rsidRDefault="000C0F22"/>
    <w:sectPr w:rsidR="000C0F22">
      <w:head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81" w:rsidRDefault="00101C81">
      <w:r>
        <w:separator/>
      </w:r>
    </w:p>
  </w:endnote>
  <w:endnote w:type="continuationSeparator" w:id="0">
    <w:p w:rsidR="00101C81" w:rsidRDefault="0010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81" w:rsidRDefault="00101C81">
      <w:r>
        <w:separator/>
      </w:r>
    </w:p>
  </w:footnote>
  <w:footnote w:type="continuationSeparator" w:id="0">
    <w:p w:rsidR="00101C81" w:rsidRDefault="0010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22" w:rsidRDefault="000D40B0">
    <w:pPr>
      <w:pStyle w:val="30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附件9</w:t>
    </w:r>
  </w:p>
  <w:p w:rsidR="000C0F22" w:rsidRDefault="000C0F22">
    <w:pPr>
      <w:pStyle w:val="a8"/>
      <w:pBdr>
        <w:bottom w:val="none" w:sz="0" w:space="0" w:color="auto"/>
      </w:pBdr>
      <w:ind w:firstLine="36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7D"/>
    <w:rsid w:val="00012FBC"/>
    <w:rsid w:val="000560C6"/>
    <w:rsid w:val="000A607D"/>
    <w:rsid w:val="000C0F22"/>
    <w:rsid w:val="000D40B0"/>
    <w:rsid w:val="000F540F"/>
    <w:rsid w:val="00101C81"/>
    <w:rsid w:val="00127854"/>
    <w:rsid w:val="00226428"/>
    <w:rsid w:val="00231553"/>
    <w:rsid w:val="002357C0"/>
    <w:rsid w:val="00247C19"/>
    <w:rsid w:val="002542B1"/>
    <w:rsid w:val="003E62CA"/>
    <w:rsid w:val="003F7A66"/>
    <w:rsid w:val="00465B96"/>
    <w:rsid w:val="0050201F"/>
    <w:rsid w:val="00572AD9"/>
    <w:rsid w:val="005B0FDB"/>
    <w:rsid w:val="005C7454"/>
    <w:rsid w:val="005E1369"/>
    <w:rsid w:val="005E471E"/>
    <w:rsid w:val="00647C53"/>
    <w:rsid w:val="006F7591"/>
    <w:rsid w:val="007703D6"/>
    <w:rsid w:val="00770A86"/>
    <w:rsid w:val="00780D4E"/>
    <w:rsid w:val="00795A82"/>
    <w:rsid w:val="007A0AB6"/>
    <w:rsid w:val="00835EF1"/>
    <w:rsid w:val="008706E2"/>
    <w:rsid w:val="008D03F0"/>
    <w:rsid w:val="009453AD"/>
    <w:rsid w:val="009F0570"/>
    <w:rsid w:val="00A46D0C"/>
    <w:rsid w:val="00AA3EA1"/>
    <w:rsid w:val="00C1730A"/>
    <w:rsid w:val="00CD04A7"/>
    <w:rsid w:val="00CD1509"/>
    <w:rsid w:val="00DC756A"/>
    <w:rsid w:val="00E1467F"/>
    <w:rsid w:val="00E836F3"/>
    <w:rsid w:val="00EC0D85"/>
    <w:rsid w:val="00EC28F0"/>
    <w:rsid w:val="00EC7F21"/>
    <w:rsid w:val="00EE21FA"/>
    <w:rsid w:val="00F21B6B"/>
    <w:rsid w:val="00F64EE1"/>
    <w:rsid w:val="00F7604C"/>
    <w:rsid w:val="00FB0351"/>
    <w:rsid w:val="00FE3874"/>
    <w:rsid w:val="00FE5FF5"/>
    <w:rsid w:val="074A335D"/>
    <w:rsid w:val="41D21532"/>
    <w:rsid w:val="5D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uiPriority="0" w:unhideWhenUsed="0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rPr>
      <w:lang w:val="zh-CN"/>
    </w:rPr>
  </w:style>
  <w:style w:type="paragraph" w:styleId="30">
    <w:name w:val="Body Text 3"/>
    <w:basedOn w:val="a"/>
    <w:link w:val="3Char0"/>
    <w:uiPriority w:val="99"/>
    <w:unhideWhenUsed/>
    <w:qFormat/>
    <w:pPr>
      <w:widowControl w:val="0"/>
      <w:spacing w:after="120"/>
      <w:jc w:val="both"/>
    </w:pPr>
    <w:rPr>
      <w:kern w:val="2"/>
      <w:sz w:val="16"/>
      <w:szCs w:val="16"/>
      <w:lang w:val="zh-CN"/>
    </w:rPr>
  </w:style>
  <w:style w:type="paragraph" w:styleId="a5">
    <w:name w:val="Body Text"/>
    <w:basedOn w:val="a"/>
    <w:link w:val="Char1"/>
    <w:qFormat/>
    <w:pPr>
      <w:widowControl w:val="0"/>
      <w:jc w:val="both"/>
    </w:pPr>
    <w:rPr>
      <w:rFonts w:eastAsia="黑体"/>
      <w:sz w:val="36"/>
      <w:szCs w:val="20"/>
    </w:rPr>
  </w:style>
  <w:style w:type="paragraph" w:styleId="a6">
    <w:name w:val="Balloon Text"/>
    <w:basedOn w:val="a"/>
    <w:link w:val="Char2"/>
    <w:qFormat/>
    <w:rPr>
      <w:sz w:val="18"/>
      <w:szCs w:val="18"/>
      <w:lang w:val="zh-CN"/>
    </w:rPr>
  </w:style>
  <w:style w:type="paragraph" w:styleId="a7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">
    <w:name w:val="Body Text 2"/>
    <w:basedOn w:val="a"/>
    <w:link w:val="2Char"/>
    <w:qFormat/>
    <w:pPr>
      <w:widowControl w:val="0"/>
      <w:jc w:val="both"/>
    </w:pPr>
    <w:rPr>
      <w:sz w:val="32"/>
      <w:szCs w:val="20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0">
    <w:name w:val="页脚 Char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脚 Char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正文文本 Char"/>
    <w:basedOn w:val="a0"/>
    <w:link w:val="a5"/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3Char0">
    <w:name w:val="正文文本 3 Char"/>
    <w:basedOn w:val="a0"/>
    <w:link w:val="30"/>
    <w:uiPriority w:val="99"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0">
    <w:name w:val="批注文字 Char"/>
    <w:basedOn w:val="a0"/>
    <w:link w:val="a4"/>
    <w:qFormat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Char">
    <w:name w:val="批注主题 Char"/>
    <w:basedOn w:val="Char0"/>
    <w:link w:val="a3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paragraph" w:customStyle="1" w:styleId="10">
    <w:name w:val="纯文本1"/>
    <w:basedOn w:val="a"/>
    <w:qFormat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uiPriority="0" w:unhideWhenUsed="0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rPr>
      <w:lang w:val="zh-CN"/>
    </w:rPr>
  </w:style>
  <w:style w:type="paragraph" w:styleId="30">
    <w:name w:val="Body Text 3"/>
    <w:basedOn w:val="a"/>
    <w:link w:val="3Char0"/>
    <w:uiPriority w:val="99"/>
    <w:unhideWhenUsed/>
    <w:qFormat/>
    <w:pPr>
      <w:widowControl w:val="0"/>
      <w:spacing w:after="120"/>
      <w:jc w:val="both"/>
    </w:pPr>
    <w:rPr>
      <w:kern w:val="2"/>
      <w:sz w:val="16"/>
      <w:szCs w:val="16"/>
      <w:lang w:val="zh-CN"/>
    </w:rPr>
  </w:style>
  <w:style w:type="paragraph" w:styleId="a5">
    <w:name w:val="Body Text"/>
    <w:basedOn w:val="a"/>
    <w:link w:val="Char1"/>
    <w:qFormat/>
    <w:pPr>
      <w:widowControl w:val="0"/>
      <w:jc w:val="both"/>
    </w:pPr>
    <w:rPr>
      <w:rFonts w:eastAsia="黑体"/>
      <w:sz w:val="36"/>
      <w:szCs w:val="20"/>
    </w:rPr>
  </w:style>
  <w:style w:type="paragraph" w:styleId="a6">
    <w:name w:val="Balloon Text"/>
    <w:basedOn w:val="a"/>
    <w:link w:val="Char2"/>
    <w:qFormat/>
    <w:rPr>
      <w:sz w:val="18"/>
      <w:szCs w:val="18"/>
      <w:lang w:val="zh-CN"/>
    </w:rPr>
  </w:style>
  <w:style w:type="paragraph" w:styleId="a7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">
    <w:name w:val="Body Text 2"/>
    <w:basedOn w:val="a"/>
    <w:link w:val="2Char"/>
    <w:qFormat/>
    <w:pPr>
      <w:widowControl w:val="0"/>
      <w:jc w:val="both"/>
    </w:pPr>
    <w:rPr>
      <w:sz w:val="32"/>
      <w:szCs w:val="20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0">
    <w:name w:val="页脚 Char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脚 Char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正文文本 Char"/>
    <w:basedOn w:val="a0"/>
    <w:link w:val="a5"/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3Char0">
    <w:name w:val="正文文本 3 Char"/>
    <w:basedOn w:val="a0"/>
    <w:link w:val="30"/>
    <w:uiPriority w:val="99"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Char0">
    <w:name w:val="批注文字 Char"/>
    <w:basedOn w:val="a0"/>
    <w:link w:val="a4"/>
    <w:qFormat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Char">
    <w:name w:val="批注主题 Char"/>
    <w:basedOn w:val="Char0"/>
    <w:link w:val="a3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paragraph" w:customStyle="1" w:styleId="10">
    <w:name w:val="纯文本1"/>
    <w:basedOn w:val="a"/>
    <w:qFormat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张桂明</dc:creator>
  <cp:lastModifiedBy>rmrb-NB</cp:lastModifiedBy>
  <cp:revision>27</cp:revision>
  <cp:lastPrinted>2021-04-02T07:29:00Z</cp:lastPrinted>
  <dcterms:created xsi:type="dcterms:W3CDTF">2021-03-31T09:23:00Z</dcterms:created>
  <dcterms:modified xsi:type="dcterms:W3CDTF">2021-05-19T10:52:00Z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