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中国新闻奖媒体融合奖项参评作品推荐表</w:t>
      </w:r>
    </w:p>
    <w:tbl>
      <w:tblPr>
        <w:tblStyle w:val="4"/>
        <w:tblpPr w:leftFromText="180" w:rightFromText="180" w:vertAnchor="text" w:horzAnchor="page" w:tblpX="1240" w:tblpY="655"/>
        <w:tblOverlap w:val="never"/>
        <w:tblW w:w="98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1558"/>
        <w:gridCol w:w="991"/>
        <w:gridCol w:w="473"/>
        <w:gridCol w:w="1413"/>
        <w:gridCol w:w="806"/>
        <w:gridCol w:w="851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9" w:hRule="atLeast"/>
        </w:trPr>
        <w:tc>
          <w:tcPr>
            <w:tcW w:w="2357" w:type="dxa"/>
            <w:vAlign w:val="center"/>
          </w:tcPr>
          <w:p>
            <w:pPr>
              <w:pStyle w:val="7"/>
              <w:spacing w:before="185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作品标题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eastAsia="华文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年中演讲</w:t>
            </w:r>
            <w:r>
              <w:rPr>
                <w:rFonts w:hint="eastAsia" w:ascii="仿宋" w:hAnsi="仿宋" w:eastAsia="仿宋" w:cs="仿宋"/>
                <w:sz w:val="24"/>
              </w:rPr>
              <w:t>“我们的小康”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短视频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spacing w:before="185"/>
              <w:ind w:right="133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参评项目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pStyle w:val="7"/>
              <w:spacing w:before="1"/>
              <w:ind w:left="109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短视频专题报道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57" w:type="dxa"/>
            <w:vAlign w:val="center"/>
          </w:tcPr>
          <w:p>
            <w:pPr>
              <w:pStyle w:val="7"/>
              <w:spacing w:line="395" w:lineRule="exact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主创人员</w:t>
            </w:r>
          </w:p>
        </w:tc>
        <w:tc>
          <w:tcPr>
            <w:tcW w:w="7536" w:type="dxa"/>
            <w:gridSpan w:val="7"/>
          </w:tcPr>
          <w:p>
            <w:pPr>
              <w:pStyle w:val="7"/>
              <w:rPr>
                <w:rFonts w:hint="eastAsia" w:ascii="Times New Roman" w:eastAsia="华文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刘晓鹏、</w:t>
            </w:r>
            <w:r>
              <w:rPr>
                <w:rFonts w:hint="eastAsia" w:ascii="仿宋" w:hAnsi="仿宋" w:eastAsia="仿宋" w:cs="仿宋"/>
                <w:sz w:val="24"/>
              </w:rPr>
              <w:t>曹磊、朱利、雷崔捷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、罗振宇、吴晓波、薛兆丰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57" w:type="dxa"/>
            <w:vAlign w:val="center"/>
          </w:tcPr>
          <w:p>
            <w:pPr>
              <w:pStyle w:val="7"/>
              <w:spacing w:line="392" w:lineRule="exact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编辑</w:t>
            </w:r>
          </w:p>
        </w:tc>
        <w:tc>
          <w:tcPr>
            <w:tcW w:w="7536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梁昌杰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、巩晗、王宇峰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357" w:type="dxa"/>
            <w:vAlign w:val="center"/>
          </w:tcPr>
          <w:p>
            <w:pPr>
              <w:pStyle w:val="7"/>
              <w:spacing w:before="12" w:line="397" w:lineRule="exact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主管单位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人民日报社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spacing w:line="409" w:lineRule="exact"/>
              <w:ind w:right="133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发布日期</w:t>
            </w:r>
          </w:p>
        </w:tc>
        <w:tc>
          <w:tcPr>
            <w:tcW w:w="3101" w:type="dxa"/>
            <w:gridSpan w:val="3"/>
          </w:tcPr>
          <w:p>
            <w:pPr>
              <w:pStyle w:val="7"/>
              <w:spacing w:before="47"/>
              <w:ind w:left="109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020</w:t>
            </w:r>
            <w:r>
              <w:rPr>
                <w:rFonts w:hint="eastAsia" w:ascii="仿宋" w:hAnsi="仿宋" w:eastAsia="仿宋"/>
                <w:sz w:val="24"/>
              </w:rPr>
              <w:t>年7月3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10:01-</w:t>
            </w:r>
          </w:p>
          <w:p>
            <w:pPr>
              <w:pStyle w:val="7"/>
              <w:spacing w:before="47"/>
              <w:ind w:left="109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>8月3日</w:t>
            </w:r>
            <w:r>
              <w:rPr>
                <w:rFonts w:hint="default" w:ascii="仿宋" w:hAnsi="仿宋" w:eastAsia="仿宋"/>
                <w:sz w:val="24"/>
                <w:highlight w:val="none"/>
                <w:lang w:val="en-US" w:eastAsia="zh-CN"/>
              </w:rPr>
              <w:t>10:39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57" w:type="dxa"/>
            <w:vAlign w:val="center"/>
          </w:tcPr>
          <w:p>
            <w:pPr>
              <w:pStyle w:val="7"/>
              <w:spacing w:before="1" w:line="387" w:lineRule="exact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发布平台</w:t>
            </w:r>
          </w:p>
        </w:tc>
        <w:tc>
          <w:tcPr>
            <w:tcW w:w="3022" w:type="dxa"/>
            <w:gridSpan w:val="3"/>
            <w:vAlign w:val="center"/>
          </w:tcPr>
          <w:p>
            <w:pPr>
              <w:pStyle w:val="7"/>
              <w:spacing w:before="79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人民日报客户端</w:t>
            </w:r>
          </w:p>
        </w:tc>
        <w:tc>
          <w:tcPr>
            <w:tcW w:w="1413" w:type="dxa"/>
            <w:vAlign w:val="center"/>
          </w:tcPr>
          <w:p>
            <w:pPr>
              <w:pStyle w:val="7"/>
              <w:spacing w:before="1" w:line="387" w:lineRule="exact"/>
              <w:ind w:right="133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作品时长</w:t>
            </w:r>
          </w:p>
        </w:tc>
        <w:tc>
          <w:tcPr>
            <w:tcW w:w="3101" w:type="dxa"/>
            <w:gridSpan w:val="3"/>
          </w:tcPr>
          <w:p>
            <w:pPr>
              <w:pStyle w:val="7"/>
              <w:spacing w:before="36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总时长</w:t>
            </w:r>
            <w:r>
              <w:rPr>
                <w:rFonts w:ascii="仿宋" w:eastAsia="仿宋"/>
                <w:sz w:val="24"/>
              </w:rPr>
              <w:t>59</w:t>
            </w:r>
            <w:r>
              <w:rPr>
                <w:rFonts w:hint="eastAsia" w:ascii="仿宋" w:eastAsia="仿宋"/>
                <w:sz w:val="24"/>
              </w:rPr>
              <w:t>分4</w:t>
            </w:r>
            <w:r>
              <w:rPr>
                <w:rFonts w:ascii="仿宋" w:eastAsia="仿宋"/>
                <w:sz w:val="24"/>
              </w:rPr>
              <w:t>6</w:t>
            </w:r>
            <w:r>
              <w:rPr>
                <w:rFonts w:hint="eastAsia" w:ascii="仿宋" w:eastAsia="仿宋"/>
                <w:sz w:val="24"/>
              </w:rPr>
              <w:t>秒：</w:t>
            </w:r>
          </w:p>
          <w:p>
            <w:pPr>
              <w:pStyle w:val="7"/>
              <w:spacing w:before="36"/>
              <w:jc w:val="center"/>
              <w:rPr>
                <w:rFonts w:hint="eastAsia" w:ascii="仿宋" w:eastAsia="仿宋"/>
                <w:sz w:val="24"/>
                <w:lang w:eastAsia="zh-CN"/>
              </w:rPr>
            </w:pPr>
            <w:r>
              <w:rPr>
                <w:rFonts w:ascii="仿宋" w:eastAsia="仿宋"/>
                <w:sz w:val="24"/>
              </w:rPr>
              <w:t>一代人的答卷</w:t>
            </w:r>
            <w:r>
              <w:rPr>
                <w:rFonts w:hint="eastAsia" w:asci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eastAsia="仿宋"/>
                <w:sz w:val="24"/>
              </w:rPr>
              <w:t>1</w:t>
            </w:r>
            <w:r>
              <w:rPr>
                <w:rFonts w:ascii="仿宋" w:eastAsia="仿宋"/>
                <w:sz w:val="24"/>
              </w:rPr>
              <w:t>8</w:t>
            </w:r>
            <w:r>
              <w:rPr>
                <w:rFonts w:hint="eastAsia" w:ascii="仿宋" w:eastAsia="仿宋"/>
                <w:sz w:val="24"/>
              </w:rPr>
              <w:t>分3</w:t>
            </w:r>
            <w:r>
              <w:rPr>
                <w:rFonts w:ascii="仿宋" w:eastAsia="仿宋"/>
                <w:sz w:val="24"/>
              </w:rPr>
              <w:t>4</w:t>
            </w:r>
            <w:r>
              <w:rPr>
                <w:rFonts w:hint="eastAsia" w:ascii="仿宋" w:eastAsia="仿宋"/>
                <w:sz w:val="24"/>
              </w:rPr>
              <w:t>秒；</w:t>
            </w:r>
            <w:r>
              <w:rPr>
                <w:rFonts w:ascii="仿宋" w:eastAsia="仿宋"/>
                <w:sz w:val="24"/>
              </w:rPr>
              <w:t>14亿人的小康</w:t>
            </w:r>
            <w:r>
              <w:rPr>
                <w:rFonts w:hint="eastAsia" w:asci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eastAsia="仿宋"/>
                <w:sz w:val="24"/>
              </w:rPr>
              <w:t>1</w:t>
            </w:r>
            <w:r>
              <w:rPr>
                <w:rFonts w:ascii="仿宋" w:eastAsia="仿宋"/>
                <w:sz w:val="24"/>
              </w:rPr>
              <w:t>8</w:t>
            </w:r>
            <w:r>
              <w:rPr>
                <w:rFonts w:hint="eastAsia" w:ascii="仿宋" w:eastAsia="仿宋"/>
                <w:sz w:val="24"/>
              </w:rPr>
              <w:t>分4</w:t>
            </w:r>
            <w:r>
              <w:rPr>
                <w:rFonts w:ascii="仿宋" w:eastAsia="仿宋"/>
                <w:sz w:val="24"/>
              </w:rPr>
              <w:t>7</w:t>
            </w:r>
            <w:r>
              <w:rPr>
                <w:rFonts w:hint="eastAsia" w:ascii="仿宋" w:eastAsia="仿宋"/>
                <w:sz w:val="24"/>
              </w:rPr>
              <w:t>秒；新时代的红利</w:t>
            </w:r>
            <w:r>
              <w:rPr>
                <w:rFonts w:hint="eastAsia" w:asci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eastAsia="仿宋"/>
                <w:sz w:val="24"/>
              </w:rPr>
              <w:t>2</w:t>
            </w:r>
            <w:r>
              <w:rPr>
                <w:rFonts w:ascii="仿宋" w:eastAsia="仿宋"/>
                <w:sz w:val="24"/>
              </w:rPr>
              <w:t>2</w:t>
            </w:r>
            <w:r>
              <w:rPr>
                <w:rFonts w:hint="eastAsia" w:ascii="仿宋" w:eastAsia="仿宋"/>
                <w:sz w:val="24"/>
              </w:rPr>
              <w:t>分2</w:t>
            </w:r>
            <w:r>
              <w:rPr>
                <w:rFonts w:ascii="仿宋" w:eastAsia="仿宋"/>
                <w:sz w:val="24"/>
              </w:rPr>
              <w:t>5</w:t>
            </w:r>
            <w:r>
              <w:rPr>
                <w:rFonts w:hint="eastAsia" w:ascii="仿宋" w:eastAsia="仿宋"/>
                <w:sz w:val="24"/>
              </w:rPr>
              <w:t>秒</w:t>
            </w:r>
            <w:r>
              <w:rPr>
                <w:rFonts w:hint="eastAsia" w:ascii="仿宋" w:eastAsia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357" w:type="dxa"/>
            <w:vAlign w:val="center"/>
          </w:tcPr>
          <w:p>
            <w:pPr>
              <w:pStyle w:val="7"/>
              <w:spacing w:before="104" w:line="412" w:lineRule="exact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采编过程</w:t>
            </w:r>
          </w:p>
          <w:p>
            <w:pPr>
              <w:pStyle w:val="7"/>
              <w:spacing w:line="412" w:lineRule="exact"/>
              <w:ind w:left="319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（作品简介）</w:t>
            </w:r>
          </w:p>
        </w:tc>
        <w:tc>
          <w:tcPr>
            <w:tcW w:w="7536" w:type="dxa"/>
            <w:gridSpan w:val="7"/>
          </w:tcPr>
          <w:p>
            <w:pPr>
              <w:pStyle w:val="7"/>
              <w:ind w:firstLine="480" w:firstLineChars="200"/>
              <w:rPr>
                <w:rFonts w:ascii="仿宋" w:eastAsia="仿宋"/>
                <w:sz w:val="24"/>
              </w:rPr>
            </w:pPr>
            <w:bookmarkStart w:id="0" w:name="_Hlk69800822"/>
            <w:r>
              <w:rPr>
                <w:rFonts w:ascii="仿宋" w:eastAsia="仿宋"/>
                <w:sz w:val="24"/>
              </w:rPr>
              <w:t>2020年是全面建成小康社会和</w:t>
            </w:r>
            <w:r>
              <w:rPr>
                <w:rFonts w:hint="eastAsia" w:ascii="仿宋" w:eastAsia="仿宋"/>
                <w:sz w:val="24"/>
              </w:rPr>
              <w:t>“</w:t>
            </w:r>
            <w:r>
              <w:rPr>
                <w:rFonts w:ascii="仿宋" w:eastAsia="仿宋"/>
                <w:sz w:val="24"/>
              </w:rPr>
              <w:t>十三五</w:t>
            </w:r>
            <w:r>
              <w:rPr>
                <w:rFonts w:hint="eastAsia" w:ascii="仿宋" w:eastAsia="仿宋"/>
                <w:sz w:val="24"/>
              </w:rPr>
              <w:t>”</w:t>
            </w:r>
            <w:r>
              <w:rPr>
                <w:rFonts w:ascii="仿宋" w:eastAsia="仿宋"/>
                <w:sz w:val="24"/>
              </w:rPr>
              <w:t>规划收官之年</w:t>
            </w:r>
            <w:r>
              <w:rPr>
                <w:rFonts w:hint="eastAsia" w:ascii="仿宋" w:eastAsia="仿宋"/>
                <w:sz w:val="24"/>
              </w:rPr>
              <w:t>，围绕网友关注关心的全面小康话题，</w:t>
            </w:r>
            <w:r>
              <w:rPr>
                <w:rFonts w:ascii="仿宋" w:eastAsia="仿宋"/>
                <w:sz w:val="24"/>
              </w:rPr>
              <w:t>人民日报社新媒体中心</w:t>
            </w:r>
            <w:r>
              <w:rPr>
                <w:rFonts w:hint="eastAsia" w:ascii="仿宋" w:eastAsia="仿宋"/>
                <w:sz w:val="24"/>
              </w:rPr>
              <w:t>邀请罗辑思维主讲人罗振宇、财经作家吴晓波、经济学者薛兆丰，策划推出人民日报新媒体</w:t>
            </w:r>
            <w:r>
              <w:rPr>
                <w:rFonts w:ascii="仿宋" w:eastAsia="仿宋"/>
                <w:sz w:val="24"/>
              </w:rPr>
              <w:t>2020年中演讲</w:t>
            </w:r>
            <w:r>
              <w:rPr>
                <w:rFonts w:hint="eastAsia" w:ascii="仿宋" w:eastAsia="仿宋"/>
                <w:sz w:val="24"/>
              </w:rPr>
              <w:t>“</w:t>
            </w:r>
            <w:r>
              <w:rPr>
                <w:rFonts w:ascii="仿宋" w:eastAsia="仿宋"/>
                <w:sz w:val="24"/>
              </w:rPr>
              <w:t>我们的小康</w:t>
            </w:r>
            <w:r>
              <w:rPr>
                <w:rFonts w:hint="eastAsia" w:ascii="仿宋" w:eastAsia="仿宋"/>
                <w:sz w:val="24"/>
              </w:rPr>
              <w:t>”</w:t>
            </w:r>
            <w:r>
              <w:rPr>
                <w:rFonts w:ascii="仿宋" w:eastAsia="仿宋"/>
                <w:sz w:val="24"/>
              </w:rPr>
              <w:t>，制作3集视频，7月31日当天3集连发。</w:t>
            </w:r>
          </w:p>
          <w:p>
            <w:pPr>
              <w:pStyle w:val="7"/>
              <w:ind w:firstLine="480" w:firstLineChars="20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借鉴近两年“跨年演讲”的形式，人民日报新媒体中心从知识视角、社会视角切入：演讲人吴晓波从普通人生活变迁的微观视角出发，解码实现全面小康这份“答卷”，总结过去一代人的努力成果和经验，展望下一步的发展与机遇；演讲人薛兆丰从经济学家的视角出发，用经济学概念解读全面小康，分析全面小康给个人和社会带来的巨大收益；演讲人罗振宇从完成脱贫攻坚目标切入，分析普通中国人从全面小康中可获得的新时代的红利。</w:t>
            </w:r>
          </w:p>
          <w:p>
            <w:pPr>
              <w:pStyle w:val="7"/>
              <w:ind w:firstLine="480" w:firstLineChars="2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内容生产上层层把关。从演讲文稿、配套素材，到前期录制、后期包装，主创团队认真沟通精心制作。</w:t>
            </w:r>
          </w:p>
          <w:p>
            <w:pPr>
              <w:pStyle w:val="7"/>
              <w:ind w:firstLine="480" w:firstLineChars="20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产品传播上精准设计。由主流媒体的新媒体平台首发，人民日报客户端、人民日报微博、人民日报微信公众号提前预热推广，发布海报、预告片，演讲正片集中于一天早中晚三次连续推出。三集内容全部发布后，正片与精剪短视频还在目标受众比较聚集的渠道联动推出。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357" w:type="dxa"/>
            <w:vAlign w:val="center"/>
          </w:tcPr>
          <w:p>
            <w:pPr>
              <w:pStyle w:val="7"/>
              <w:spacing w:before="221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社会效果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ind w:firstLine="480" w:firstLineChars="200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深度契合“全面小康”这一大主题，人民日报新媒体中心聚焦广大网友特别是青年网友，精心策划，选择政治上符合要求，同时对年轻人有一定影响力的演讲人，与青年人的“联通度”强，演讲内容既有高度，又接地气，</w:t>
            </w:r>
            <w:r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  <w:t>探索出一条运用新媒体精准做好主题宣传的模式和路径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ind w:firstLine="480" w:firstLineChars="200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年中演讲在舆论场得到普遍的正面反馈和互动，充分发挥了社交媒体的作用，在年轻活跃用户中引发大量点赞和正面评论：</w:t>
            </w:r>
          </w:p>
          <w:p>
            <w:pPr>
              <w:widowControl/>
              <w:ind w:firstLine="480" w:firstLineChars="200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一是网友认为作品深度温度兼而有之；</w:t>
            </w:r>
          </w:p>
          <w:p>
            <w:pPr>
              <w:widowControl/>
              <w:ind w:firstLine="480" w:firstLineChars="200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二是网友点赞内容通俗易懂、务实深刻，硬核内容有助深刻理解小康社会内涵；</w:t>
            </w:r>
          </w:p>
          <w:p>
            <w:pPr>
              <w:widowControl/>
              <w:ind w:firstLine="480" w:firstLineChars="200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三是网友表示受到演讲内容的鼓舞和感召。</w:t>
            </w:r>
          </w:p>
          <w:p>
            <w:pPr>
              <w:widowControl/>
              <w:ind w:firstLine="480" w:firstLineChars="200"/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产品整体达成了预期效果，体现了主题宣传守正创新的要求。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2357" w:type="dxa"/>
            <w:vAlign w:val="center"/>
          </w:tcPr>
          <w:p>
            <w:pPr>
              <w:pStyle w:val="7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全媒体传播效果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ind w:firstLine="480" w:firstLineChars="200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“年中演讲”推出后，引起广泛关注，取得较好宣传效果，截至目前全网播放量超过</w:t>
            </w:r>
            <w:r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  <w:t>2亿次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>
            <w:pPr>
              <w:widowControl/>
              <w:ind w:firstLine="480" w:firstLineChars="200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  <w:t>1、精准进行内容设计，强化与目标受众联通度。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在</w:t>
            </w:r>
            <w:r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  <w:t>年轻用户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  <w:t>中取得良好舆论效果，反馈踊跃，纷纷</w:t>
            </w:r>
            <w:r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  <w:t>表示演讲既有高度又有温度，没有说教感，三位主讲人组成一场视听盛宴，创意满满的主流宣传。</w:t>
            </w:r>
          </w:p>
          <w:p>
            <w:pPr>
              <w:widowControl/>
              <w:ind w:firstLine="480" w:firstLineChars="200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  <w:t>2、精准选择传播投放渠道，强化内容渗透力。公开课一经推出，立即成为网上“爆款”，网民争相转发并为演讲人点赞。超过500多家重点网站、客户端、微信公众号转载，涉2020年中演讲“我们的小康”相关信息全网传播总量近30万条。</w:t>
            </w:r>
          </w:p>
          <w:p>
            <w:pPr>
              <w:widowControl/>
              <w:ind w:firstLine="480" w:firstLineChars="200"/>
              <w:rPr>
                <w:rFonts w:hint="eastAsia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  <w:t>3、精准引导互动转发，带动目标受众参与。公开课发布后，引起普通网民的广泛关注，根据传播计划，充分发挥社交媒体作用，带动大家关注、分享、转发。其中，微博平台的话题总阅读量超过1亿，主话题#我们的小康#阅读量近7000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2357" w:type="dxa"/>
          </w:tcPr>
          <w:p>
            <w:pPr>
              <w:pStyle w:val="7"/>
              <w:rPr>
                <w:rFonts w:ascii="华文中宋"/>
                <w:b/>
                <w:sz w:val="36"/>
              </w:rPr>
            </w:pPr>
          </w:p>
          <w:p>
            <w:pPr>
              <w:pStyle w:val="7"/>
              <w:spacing w:before="2"/>
              <w:rPr>
                <w:rFonts w:ascii="华文中宋"/>
                <w:b/>
                <w:sz w:val="40"/>
              </w:rPr>
            </w:pPr>
          </w:p>
          <w:p>
            <w:pPr>
              <w:pStyle w:val="7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推荐理由</w:t>
            </w:r>
          </w:p>
        </w:tc>
        <w:tc>
          <w:tcPr>
            <w:tcW w:w="7536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该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专题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作品形式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上充分贴近年轻人偏好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，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产品形态年轻化，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话题立意有网感，以适应移动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传播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的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轻量化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篇幅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和视频包装形式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，将实现全面小康的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现实意义和前景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娓娓道来，向世人展示了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中国在脱贫攻坚、实现全面小康方面的时代担当与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风采，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描述了中国人小康生活的生动图景，针对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主题宣传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大胆尝试</w:t>
            </w:r>
            <w:r>
              <w:rPr>
                <w:rFonts w:hint="eastAsia" w:hAnsi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全新表达，可圈可点。演讲内容信息量饱满，话语风格简洁明快，制作精良，成为刷屏网络的精品力作。</w:t>
            </w:r>
          </w:p>
          <w:p>
            <w:pPr>
              <w:widowControl/>
              <w:ind w:firstLine="480" w:firstLineChars="200"/>
              <w:jc w:val="left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rPr>
                <w:rFonts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pStyle w:val="7"/>
              <w:tabs>
                <w:tab w:val="left" w:pos="4479"/>
              </w:tabs>
              <w:spacing w:line="402" w:lineRule="exact"/>
              <w:ind w:right="533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签名：</w:t>
            </w:r>
            <w:r>
              <w:rPr>
                <w:rFonts w:hint="eastAsia" w:ascii="华文中宋" w:eastAsia="华文中宋"/>
                <w:sz w:val="28"/>
              </w:rPr>
              <w:tab/>
            </w:r>
            <w:r>
              <w:rPr>
                <w:rFonts w:hint="eastAsia" w:ascii="华文中宋" w:eastAsia="华文中宋"/>
                <w:sz w:val="28"/>
              </w:rPr>
              <w:t>（盖单位</w:t>
            </w:r>
            <w:r>
              <w:rPr>
                <w:rFonts w:hint="eastAsia" w:ascii="华文中宋" w:eastAsia="华文中宋"/>
                <w:spacing w:val="-3"/>
                <w:sz w:val="28"/>
              </w:rPr>
              <w:t>公</w:t>
            </w:r>
            <w:r>
              <w:rPr>
                <w:rFonts w:hint="eastAsia" w:ascii="华文中宋" w:eastAsia="华文中宋"/>
                <w:sz w:val="28"/>
              </w:rPr>
              <w:t>章）</w:t>
            </w:r>
          </w:p>
          <w:p>
            <w:pPr>
              <w:pStyle w:val="7"/>
              <w:tabs>
                <w:tab w:val="left" w:pos="1327"/>
                <w:tab w:val="left" w:pos="1886"/>
              </w:tabs>
              <w:spacing w:line="413" w:lineRule="exact"/>
              <w:ind w:right="502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202</w:t>
            </w:r>
            <w:r>
              <w:rPr>
                <w:rFonts w:hint="eastAsia" w:ascii="华文中宋" w:eastAsia="华文中宋"/>
                <w:sz w:val="28"/>
                <w:lang w:val="en-US"/>
              </w:rPr>
              <w:t>1</w:t>
            </w:r>
            <w:r>
              <w:rPr>
                <w:rFonts w:hint="eastAsia" w:ascii="华文中宋" w:eastAsia="华文中宋"/>
                <w:spacing w:val="-19"/>
                <w:sz w:val="28"/>
              </w:rPr>
              <w:t xml:space="preserve"> </w:t>
            </w:r>
            <w:r>
              <w:rPr>
                <w:rFonts w:hint="eastAsia" w:ascii="华文中宋" w:eastAsia="华文中宋"/>
                <w:sz w:val="28"/>
              </w:rPr>
              <w:t>年</w:t>
            </w:r>
            <w:r>
              <w:rPr>
                <w:rFonts w:hint="eastAsia" w:ascii="华文中宋" w:eastAsia="华文中宋"/>
                <w:sz w:val="28"/>
              </w:rPr>
              <w:tab/>
            </w:r>
            <w:r>
              <w:rPr>
                <w:rFonts w:hint="eastAsia" w:ascii="华文中宋" w:eastAsia="华文中宋"/>
                <w:sz w:val="28"/>
              </w:rPr>
              <w:t>月</w:t>
            </w:r>
            <w:r>
              <w:rPr>
                <w:rFonts w:hint="eastAsia" w:ascii="华文中宋" w:eastAsia="华文中宋"/>
                <w:sz w:val="28"/>
              </w:rPr>
              <w:tab/>
            </w:r>
            <w:r>
              <w:rPr>
                <w:rFonts w:hint="eastAsia" w:asci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57" w:type="dxa"/>
          </w:tcPr>
          <w:p>
            <w:pPr>
              <w:pStyle w:val="7"/>
              <w:spacing w:before="5" w:line="394" w:lineRule="exact"/>
              <w:ind w:left="319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联系人</w:t>
            </w:r>
          </w:p>
        </w:tc>
        <w:tc>
          <w:tcPr>
            <w:tcW w:w="1558" w:type="dxa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7"/>
              <w:spacing w:before="5" w:line="394" w:lineRule="exact"/>
              <w:ind w:left="216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邮箱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851" w:type="dxa"/>
          </w:tcPr>
          <w:p>
            <w:pPr>
              <w:pStyle w:val="7"/>
              <w:spacing w:before="5" w:line="394" w:lineRule="exact"/>
              <w:ind w:left="148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手机</w:t>
            </w:r>
          </w:p>
        </w:tc>
        <w:tc>
          <w:tcPr>
            <w:tcW w:w="1444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57" w:type="dxa"/>
          </w:tcPr>
          <w:p>
            <w:pPr>
              <w:pStyle w:val="7"/>
              <w:spacing w:before="3" w:line="392" w:lineRule="exact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地址</w:t>
            </w:r>
          </w:p>
        </w:tc>
        <w:tc>
          <w:tcPr>
            <w:tcW w:w="5241" w:type="dxa"/>
            <w:gridSpan w:val="5"/>
          </w:tcPr>
          <w:p>
            <w:pPr>
              <w:pStyle w:val="7"/>
              <w:jc w:val="center"/>
              <w:rPr>
                <w:rFonts w:hint="default" w:ascii="Times New Roman" w:eastAsia="华文仿宋"/>
                <w:sz w:val="24"/>
                <w:lang w:val="en-US" w:eastAsia="zh-CN"/>
              </w:rPr>
            </w:pPr>
          </w:p>
        </w:tc>
        <w:tc>
          <w:tcPr>
            <w:tcW w:w="851" w:type="dxa"/>
          </w:tcPr>
          <w:p>
            <w:pPr>
              <w:pStyle w:val="7"/>
              <w:spacing w:before="3" w:line="392" w:lineRule="exact"/>
              <w:ind w:left="148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邮编</w:t>
            </w:r>
          </w:p>
        </w:tc>
        <w:tc>
          <w:tcPr>
            <w:tcW w:w="1444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>
      <w:pPr>
        <w:spacing w:line="580" w:lineRule="exact"/>
        <w:rPr>
          <w:rFonts w:hint="eastAsia" w:hAnsi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E3"/>
    <w:rsid w:val="0010431B"/>
    <w:rsid w:val="001145C7"/>
    <w:rsid w:val="00584D83"/>
    <w:rsid w:val="005F3962"/>
    <w:rsid w:val="005F3984"/>
    <w:rsid w:val="006258E3"/>
    <w:rsid w:val="0065677B"/>
    <w:rsid w:val="00657898"/>
    <w:rsid w:val="00783437"/>
    <w:rsid w:val="00842F8A"/>
    <w:rsid w:val="008B2DED"/>
    <w:rsid w:val="008C543E"/>
    <w:rsid w:val="008E0BF0"/>
    <w:rsid w:val="009A4C65"/>
    <w:rsid w:val="009B1C17"/>
    <w:rsid w:val="00AA50A0"/>
    <w:rsid w:val="00AE35F6"/>
    <w:rsid w:val="00C23AB8"/>
    <w:rsid w:val="00C419FF"/>
    <w:rsid w:val="00CE4282"/>
    <w:rsid w:val="00CF3F09"/>
    <w:rsid w:val="00D0663D"/>
    <w:rsid w:val="00D92B1B"/>
    <w:rsid w:val="00DC5EC2"/>
    <w:rsid w:val="00EA5469"/>
    <w:rsid w:val="00F816C6"/>
    <w:rsid w:val="0F2B551C"/>
    <w:rsid w:val="22C600B4"/>
    <w:rsid w:val="2A596426"/>
    <w:rsid w:val="44B56E56"/>
    <w:rsid w:val="4978097E"/>
    <w:rsid w:val="4A47633A"/>
    <w:rsid w:val="5CDB383E"/>
    <w:rsid w:val="72D83C7A"/>
    <w:rsid w:val="73B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Table Paragraph"/>
    <w:basedOn w:val="1"/>
    <w:qFormat/>
    <w:uiPriority w:val="1"/>
    <w:rPr>
      <w:rFonts w:ascii="华文仿宋" w:hAnsi="华文仿宋" w:eastAsia="华文仿宋" w:cs="华文仿宋"/>
      <w:lang w:val="zh-CN" w:bidi="zh-CN"/>
    </w:rPr>
  </w:style>
  <w:style w:type="character" w:customStyle="1" w:styleId="8">
    <w:name w:val="页眉 字符"/>
    <w:basedOn w:val="5"/>
    <w:link w:val="3"/>
    <w:qFormat/>
    <w:uiPriority w:val="99"/>
    <w:rPr>
      <w:rFonts w:ascii="仿宋" w:eastAsia="仿宋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仿宋" w:eastAsia="仿宋"/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321</Words>
  <Characters>1833</Characters>
  <Lines>15</Lines>
  <Paragraphs>4</Paragraphs>
  <TotalTime>0</TotalTime>
  <ScaleCrop>false</ScaleCrop>
  <LinksUpToDate>false</LinksUpToDate>
  <CharactersWithSpaces>2150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2021-04-20T00:19:00Z</dcterms:created>
  <dc:creator>崔捷 雷</dc:creator>
  <cp:lastModifiedBy>齐越</cp:lastModifiedBy>
  <dcterms:modified xsi:type="dcterms:W3CDTF">2021-04-23T09:24:22Z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9EB9FA4E58ED446688A1A5B2427C74AA</vt:lpwstr>
  </property>
  <property fmtid="{D5CDD505-2E9C-101B-9397-08002B2CF9AE}" pid="4" name="KSOSaveFontToCloudKey">
    <vt:lpwstr>283318840_cloud</vt:lpwstr>
  </property>
</Properties>
</file>