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5D71" w14:textId="77777777" w:rsidR="000612FC" w:rsidRDefault="006B3B02">
      <w:pPr>
        <w:spacing w:line="600" w:lineRule="exact"/>
        <w:jc w:val="center"/>
        <w:rPr>
          <w:rFonts w:ascii="STZhongsong" w:eastAsia="STZhongsong" w:hAnsi="STZhongsong" w:cs="STZhongsong"/>
          <w:b/>
          <w:bCs/>
          <w:sz w:val="40"/>
          <w:szCs w:val="40"/>
        </w:rPr>
      </w:pPr>
      <w:r>
        <w:rPr>
          <w:rFonts w:ascii="STZhongsong" w:eastAsia="STZhongsong" w:hAnsi="STZhongsong" w:cs="STZhongsong" w:hint="eastAsia"/>
          <w:b/>
          <w:bCs/>
          <w:sz w:val="40"/>
          <w:szCs w:val="40"/>
        </w:rPr>
        <w:t>“强县域 千县行”</w:t>
      </w:r>
    </w:p>
    <w:p w14:paraId="044B91E5" w14:textId="77777777" w:rsidR="000612FC" w:rsidRDefault="006B3B02">
      <w:pPr>
        <w:spacing w:line="600" w:lineRule="exact"/>
        <w:jc w:val="center"/>
        <w:rPr>
          <w:rFonts w:ascii="STZhongsong" w:eastAsia="STZhongsong" w:hAnsi="STZhongsong" w:cs="STZhongsong"/>
          <w:b/>
          <w:bCs/>
          <w:sz w:val="40"/>
          <w:szCs w:val="40"/>
        </w:rPr>
      </w:pPr>
      <w:r>
        <w:rPr>
          <w:rFonts w:ascii="STZhongsong" w:eastAsia="STZhongsong" w:hAnsi="STZhongsong" w:cs="STZhongsong" w:hint="eastAsia"/>
          <w:b/>
          <w:bCs/>
          <w:sz w:val="40"/>
          <w:szCs w:val="40"/>
        </w:rPr>
        <w:t>全国县级医院综合能力提升典型案例宣传活动</w:t>
      </w:r>
    </w:p>
    <w:p w14:paraId="4F05FF16" w14:textId="3AB5FB66" w:rsidR="000612FC" w:rsidRDefault="006B3B02">
      <w:pPr>
        <w:widowControl/>
        <w:spacing w:line="400" w:lineRule="exact"/>
        <w:jc w:val="center"/>
        <w:textAlignment w:val="center"/>
        <w:rPr>
          <w:rFonts w:ascii="仿宋" w:eastAsia="仿宋" w:hAnsi="仿宋" w:cs="仿宋"/>
          <w:color w:val="000000"/>
          <w:sz w:val="28"/>
          <w:szCs w:val="28"/>
        </w:rPr>
      </w:pPr>
      <w:r>
        <w:rPr>
          <w:rFonts w:ascii="STZhongsong" w:eastAsia="STZhongsong" w:hAnsi="STZhongsong" w:cs="STZhongsong" w:hint="eastAsia"/>
          <w:b/>
          <w:bCs/>
          <w:sz w:val="40"/>
          <w:szCs w:val="40"/>
        </w:rPr>
        <w:t>典型案例申报介绍</w:t>
      </w:r>
    </w:p>
    <w:p w14:paraId="3417C23D" w14:textId="77777777" w:rsidR="000612FC" w:rsidRDefault="000612FC">
      <w:pPr>
        <w:spacing w:line="560" w:lineRule="exact"/>
        <w:rPr>
          <w:rFonts w:ascii="仿宋" w:eastAsia="仿宋" w:hAnsi="仿宋" w:cs="仿宋"/>
          <w:sz w:val="32"/>
          <w:szCs w:val="32"/>
        </w:rPr>
      </w:pPr>
    </w:p>
    <w:p w14:paraId="0E83706F" w14:textId="3C63FB02" w:rsidR="000612FC" w:rsidRDefault="006B3B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为贯彻落实《全面提升县级医院综合能力工作方案（2018-2020年）》有关要求，进一步形成典型带动、示范引领的营造良好的工作氛围。在国家卫健委</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政</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管局指导下，人民网·人民健康将组织开展全国县级医院综合能力提升典型案例申报、评选工作。对两年来县级医院能力有效提升的县级医院</w:t>
      </w:r>
      <w:r w:rsidR="00F240C7">
        <w:rPr>
          <w:rFonts w:ascii="仿宋" w:eastAsia="仿宋" w:hAnsi="仿宋" w:cs="仿宋" w:hint="eastAsia"/>
          <w:sz w:val="32"/>
          <w:szCs w:val="32"/>
        </w:rPr>
        <w:t>和院长</w:t>
      </w:r>
      <w:r>
        <w:rPr>
          <w:rFonts w:ascii="仿宋" w:eastAsia="仿宋" w:hAnsi="仿宋" w:cs="仿宋" w:hint="eastAsia"/>
          <w:sz w:val="32"/>
          <w:szCs w:val="32"/>
        </w:rPr>
        <w:t>进行评选</w:t>
      </w:r>
      <w:r w:rsidR="00F240C7">
        <w:rPr>
          <w:rFonts w:ascii="仿宋" w:eastAsia="仿宋" w:hAnsi="仿宋" w:cs="仿宋" w:hint="eastAsia"/>
          <w:sz w:val="32"/>
          <w:szCs w:val="32"/>
        </w:rPr>
        <w:t>表彰</w:t>
      </w:r>
      <w:r>
        <w:rPr>
          <w:rFonts w:ascii="仿宋" w:eastAsia="仿宋" w:hAnsi="仿宋" w:cs="仿宋" w:hint="eastAsia"/>
          <w:sz w:val="32"/>
          <w:szCs w:val="32"/>
        </w:rPr>
        <w:t>。</w:t>
      </w:r>
    </w:p>
    <w:p w14:paraId="637D16BB" w14:textId="0C1C2A35" w:rsidR="000612FC" w:rsidRDefault="006B3B0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各县级医院以总结的形式上报至</w:t>
      </w:r>
      <w:proofErr w:type="gramStart"/>
      <w:r>
        <w:rPr>
          <w:rFonts w:ascii="仿宋" w:eastAsia="仿宋" w:hAnsi="仿宋" w:cs="仿宋" w:hint="eastAsia"/>
          <w:sz w:val="32"/>
          <w:szCs w:val="32"/>
        </w:rPr>
        <w:t>人民网相应</w:t>
      </w:r>
      <w:proofErr w:type="gramEnd"/>
      <w:r>
        <w:rPr>
          <w:rFonts w:ascii="仿宋" w:eastAsia="仿宋" w:hAnsi="仿宋" w:cs="仿宋" w:hint="eastAsia"/>
          <w:sz w:val="32"/>
          <w:szCs w:val="32"/>
        </w:rPr>
        <w:t>征集通道，充分显示县级医院能力提升</w:t>
      </w:r>
      <w:r>
        <w:rPr>
          <w:rFonts w:ascii="仿宋" w:eastAsia="仿宋" w:hAnsi="仿宋" w:cs="仿宋"/>
          <w:sz w:val="32"/>
          <w:szCs w:val="32"/>
        </w:rPr>
        <w:t>的经验和做法。</w:t>
      </w:r>
      <w:r>
        <w:rPr>
          <w:rFonts w:ascii="仿宋" w:eastAsia="仿宋" w:hAnsi="仿宋" w:cs="仿宋" w:hint="eastAsia"/>
          <w:sz w:val="32"/>
          <w:szCs w:val="32"/>
        </w:rPr>
        <w:t>人民网·人民健康将组建评审专家委员会对入选的典型案例进行评审。入选优秀案例将在“强县域 千县行”</w:t>
      </w:r>
      <w:r w:rsidR="00F240C7">
        <w:rPr>
          <w:rFonts w:ascii="仿宋" w:eastAsia="仿宋" w:hAnsi="仿宋" w:cs="仿宋" w:hint="eastAsia"/>
          <w:sz w:val="32"/>
          <w:szCs w:val="32"/>
        </w:rPr>
        <w:t>2020年</w:t>
      </w:r>
      <w:r>
        <w:rPr>
          <w:rFonts w:ascii="仿宋" w:eastAsia="仿宋" w:hAnsi="仿宋" w:cs="仿宋" w:hint="eastAsia"/>
          <w:sz w:val="32"/>
          <w:szCs w:val="32"/>
        </w:rPr>
        <w:t>全国县级医院综合能力提升典型案例宣传活动全国总结大会上进行宣传表彰。</w:t>
      </w:r>
    </w:p>
    <w:p w14:paraId="50DDFDEB" w14:textId="77777777" w:rsidR="000612FC" w:rsidRDefault="000612FC">
      <w:pPr>
        <w:spacing w:line="560" w:lineRule="exact"/>
        <w:ind w:firstLineChars="200" w:firstLine="640"/>
        <w:rPr>
          <w:rFonts w:ascii="仿宋" w:eastAsia="仿宋" w:hAnsi="仿宋" w:cs="仿宋"/>
          <w:sz w:val="32"/>
          <w:szCs w:val="32"/>
        </w:rPr>
      </w:pPr>
    </w:p>
    <w:p w14:paraId="6F62EF1E" w14:textId="77777777" w:rsidR="000612FC" w:rsidRDefault="000612FC">
      <w:pPr>
        <w:spacing w:line="560" w:lineRule="exact"/>
        <w:ind w:firstLineChars="200" w:firstLine="640"/>
        <w:rPr>
          <w:rFonts w:ascii="仿宋" w:eastAsia="仿宋" w:hAnsi="仿宋" w:cs="仿宋"/>
          <w:sz w:val="32"/>
          <w:szCs w:val="32"/>
        </w:rPr>
      </w:pPr>
    </w:p>
    <w:p w14:paraId="417C4E6E" w14:textId="77777777" w:rsidR="000612FC" w:rsidRDefault="000612FC">
      <w:pPr>
        <w:spacing w:line="560" w:lineRule="exact"/>
        <w:ind w:firstLineChars="200" w:firstLine="640"/>
        <w:rPr>
          <w:rFonts w:ascii="仿宋" w:eastAsia="仿宋" w:hAnsi="仿宋" w:cs="仿宋"/>
          <w:sz w:val="32"/>
          <w:szCs w:val="32"/>
        </w:rPr>
      </w:pPr>
    </w:p>
    <w:p w14:paraId="58D9A79A" w14:textId="71128C76" w:rsidR="006C609F" w:rsidRDefault="006C609F">
      <w:pPr>
        <w:widowControl/>
        <w:jc w:val="left"/>
        <w:rPr>
          <w:rFonts w:ascii="仿宋" w:eastAsia="仿宋" w:hAnsi="仿宋" w:cs="仿宋"/>
          <w:sz w:val="32"/>
          <w:szCs w:val="32"/>
        </w:rPr>
      </w:pPr>
      <w:r>
        <w:rPr>
          <w:rFonts w:ascii="仿宋" w:eastAsia="仿宋" w:hAnsi="仿宋" w:cs="仿宋"/>
          <w:sz w:val="32"/>
          <w:szCs w:val="32"/>
        </w:rPr>
        <w:br w:type="page"/>
      </w:r>
    </w:p>
    <w:p w14:paraId="7501EB07" w14:textId="2F8BE382" w:rsidR="000612FC" w:rsidRDefault="006B3B02">
      <w:pPr>
        <w:spacing w:line="500" w:lineRule="exact"/>
      </w:pPr>
      <w:r>
        <w:rPr>
          <w:rFonts w:ascii="STZhongsong" w:eastAsia="STZhongsong" w:hAnsi="STZhongsong" w:cs="STZhongsong" w:hint="eastAsia"/>
          <w:b/>
          <w:bCs/>
          <w:color w:val="000000"/>
          <w:kern w:val="0"/>
          <w:sz w:val="32"/>
          <w:szCs w:val="32"/>
        </w:rPr>
        <w:lastRenderedPageBreak/>
        <w:t>附件</w:t>
      </w:r>
    </w:p>
    <w:p w14:paraId="65A2569D" w14:textId="0D7DBF1D" w:rsidR="000612FC" w:rsidRDefault="006B3B02">
      <w:pPr>
        <w:spacing w:line="500" w:lineRule="exact"/>
        <w:jc w:val="center"/>
        <w:rPr>
          <w:rFonts w:ascii="仿宋" w:eastAsia="仿宋" w:hAnsi="仿宋" w:cs="仿宋"/>
          <w:sz w:val="32"/>
          <w:szCs w:val="32"/>
        </w:rPr>
      </w:pPr>
      <w:r>
        <w:rPr>
          <w:rFonts w:ascii="STZhongsong" w:eastAsia="STZhongsong" w:hAnsi="STZhongsong" w:cs="STZhongsong" w:hint="eastAsia"/>
          <w:b/>
          <w:bCs/>
          <w:color w:val="000000"/>
          <w:kern w:val="0"/>
          <w:sz w:val="32"/>
          <w:szCs w:val="32"/>
        </w:rPr>
        <w:t>全国县级医院综合能力提升优秀典型申报表</w:t>
      </w:r>
    </w:p>
    <w:tbl>
      <w:tblPr>
        <w:tblW w:w="10676"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3091"/>
        <w:gridCol w:w="1271"/>
        <w:gridCol w:w="1444"/>
        <w:gridCol w:w="1116"/>
        <w:gridCol w:w="2509"/>
      </w:tblGrid>
      <w:tr w:rsidR="000612FC" w14:paraId="3CA71C95" w14:textId="77777777">
        <w:trPr>
          <w:trHeight w:val="484"/>
        </w:trPr>
        <w:tc>
          <w:tcPr>
            <w:tcW w:w="1245" w:type="dxa"/>
            <w:vAlign w:val="center"/>
          </w:tcPr>
          <w:p w14:paraId="1FE1B49B" w14:textId="77777777" w:rsidR="000612FC" w:rsidRDefault="006B3B02">
            <w:pPr>
              <w:jc w:val="center"/>
            </w:pPr>
            <w:r>
              <w:rPr>
                <w:rFonts w:ascii="宋体" w:hAnsi="宋体" w:hint="eastAsia"/>
              </w:rPr>
              <w:t>医院</w:t>
            </w:r>
            <w:r>
              <w:rPr>
                <w:rFonts w:hint="eastAsia"/>
              </w:rPr>
              <w:t>名称</w:t>
            </w:r>
          </w:p>
        </w:tc>
        <w:tc>
          <w:tcPr>
            <w:tcW w:w="3093" w:type="dxa"/>
            <w:vAlign w:val="center"/>
          </w:tcPr>
          <w:p w14:paraId="30DA638B" w14:textId="77777777" w:rsidR="000612FC" w:rsidRDefault="000612FC">
            <w:pPr>
              <w:rPr>
                <w:rFonts w:eastAsia="宋体"/>
              </w:rPr>
            </w:pPr>
          </w:p>
        </w:tc>
        <w:tc>
          <w:tcPr>
            <w:tcW w:w="1272" w:type="dxa"/>
            <w:vAlign w:val="center"/>
          </w:tcPr>
          <w:p w14:paraId="45299F0B" w14:textId="77777777" w:rsidR="000612FC" w:rsidRDefault="006B3B02">
            <w:pPr>
              <w:jc w:val="center"/>
            </w:pPr>
            <w:r>
              <w:rPr>
                <w:rFonts w:ascii="宋体" w:hAnsi="宋体" w:hint="eastAsia"/>
              </w:rPr>
              <w:t>医院等级</w:t>
            </w:r>
          </w:p>
        </w:tc>
        <w:tc>
          <w:tcPr>
            <w:tcW w:w="5066" w:type="dxa"/>
            <w:gridSpan w:val="3"/>
            <w:vAlign w:val="center"/>
          </w:tcPr>
          <w:p w14:paraId="68C730C6" w14:textId="77777777" w:rsidR="000612FC" w:rsidRDefault="006B3B02">
            <w:pPr>
              <w:rPr>
                <w:rFonts w:eastAsia="宋体"/>
              </w:rPr>
            </w:pPr>
            <w:r>
              <w:rPr>
                <w:rFonts w:hint="eastAsia"/>
              </w:rPr>
              <w:t xml:space="preserve"> </w:t>
            </w:r>
          </w:p>
        </w:tc>
      </w:tr>
      <w:tr w:rsidR="000612FC" w14:paraId="0DDFB2E3" w14:textId="77777777">
        <w:trPr>
          <w:trHeight w:val="416"/>
        </w:trPr>
        <w:tc>
          <w:tcPr>
            <w:tcW w:w="1245" w:type="dxa"/>
            <w:vMerge w:val="restart"/>
            <w:vAlign w:val="center"/>
          </w:tcPr>
          <w:p w14:paraId="7200553F" w14:textId="77777777" w:rsidR="000612FC" w:rsidRDefault="006B3B02">
            <w:pPr>
              <w:jc w:val="center"/>
            </w:pPr>
            <w:r>
              <w:rPr>
                <w:rFonts w:hint="eastAsia"/>
              </w:rPr>
              <w:t>联</w:t>
            </w:r>
            <w:r>
              <w:rPr>
                <w:rFonts w:hint="eastAsia"/>
              </w:rPr>
              <w:t xml:space="preserve"> </w:t>
            </w:r>
            <w:r>
              <w:rPr>
                <w:rFonts w:hint="eastAsia"/>
              </w:rPr>
              <w:t>系</w:t>
            </w:r>
            <w:r>
              <w:rPr>
                <w:rFonts w:hint="eastAsia"/>
              </w:rPr>
              <w:t xml:space="preserve"> </w:t>
            </w:r>
            <w:r>
              <w:rPr>
                <w:rFonts w:hint="eastAsia"/>
              </w:rPr>
              <w:t>人</w:t>
            </w:r>
          </w:p>
        </w:tc>
        <w:tc>
          <w:tcPr>
            <w:tcW w:w="3093" w:type="dxa"/>
            <w:vAlign w:val="center"/>
          </w:tcPr>
          <w:p w14:paraId="11D338EB" w14:textId="77777777" w:rsidR="000612FC" w:rsidRDefault="000612FC">
            <w:pPr>
              <w:jc w:val="center"/>
              <w:rPr>
                <w:rFonts w:eastAsia="宋体"/>
              </w:rPr>
            </w:pPr>
          </w:p>
        </w:tc>
        <w:tc>
          <w:tcPr>
            <w:tcW w:w="1272" w:type="dxa"/>
            <w:vAlign w:val="center"/>
          </w:tcPr>
          <w:p w14:paraId="6F3B398E" w14:textId="77777777" w:rsidR="000612FC" w:rsidRDefault="006B3B02">
            <w:pPr>
              <w:jc w:val="center"/>
            </w:pPr>
            <w:r>
              <w:rPr>
                <w:rFonts w:hint="eastAsia"/>
              </w:rPr>
              <w:t>所在部门</w:t>
            </w:r>
          </w:p>
        </w:tc>
        <w:tc>
          <w:tcPr>
            <w:tcW w:w="1445" w:type="dxa"/>
            <w:vAlign w:val="center"/>
          </w:tcPr>
          <w:p w14:paraId="4E1BE08A" w14:textId="77777777" w:rsidR="000612FC" w:rsidRDefault="000612FC">
            <w:pPr>
              <w:jc w:val="center"/>
              <w:rPr>
                <w:rFonts w:eastAsia="宋体"/>
              </w:rPr>
            </w:pPr>
          </w:p>
        </w:tc>
        <w:tc>
          <w:tcPr>
            <w:tcW w:w="1111" w:type="dxa"/>
            <w:vAlign w:val="center"/>
          </w:tcPr>
          <w:p w14:paraId="1E81F3F6" w14:textId="77777777" w:rsidR="000612FC" w:rsidRDefault="006B3B02">
            <w:pPr>
              <w:jc w:val="center"/>
            </w:pPr>
            <w:r>
              <w:rPr>
                <w:rFonts w:hint="eastAsia"/>
              </w:rPr>
              <w:t>电话</w:t>
            </w:r>
          </w:p>
        </w:tc>
        <w:tc>
          <w:tcPr>
            <w:tcW w:w="2510" w:type="dxa"/>
            <w:vAlign w:val="center"/>
          </w:tcPr>
          <w:p w14:paraId="7A78F86F" w14:textId="77777777" w:rsidR="000612FC" w:rsidRDefault="000612FC"/>
        </w:tc>
      </w:tr>
      <w:tr w:rsidR="000612FC" w14:paraId="7D2FFD79" w14:textId="77777777">
        <w:trPr>
          <w:trHeight w:val="468"/>
        </w:trPr>
        <w:tc>
          <w:tcPr>
            <w:tcW w:w="1245" w:type="dxa"/>
            <w:vMerge/>
            <w:vAlign w:val="center"/>
          </w:tcPr>
          <w:p w14:paraId="59DE6BFB" w14:textId="77777777" w:rsidR="000612FC" w:rsidRDefault="000612FC">
            <w:pPr>
              <w:widowControl/>
              <w:jc w:val="left"/>
            </w:pPr>
          </w:p>
        </w:tc>
        <w:tc>
          <w:tcPr>
            <w:tcW w:w="3093" w:type="dxa"/>
            <w:vAlign w:val="center"/>
          </w:tcPr>
          <w:p w14:paraId="44E15AE5" w14:textId="77777777" w:rsidR="000612FC" w:rsidRDefault="000612FC">
            <w:pPr>
              <w:jc w:val="center"/>
              <w:rPr>
                <w:rFonts w:eastAsia="宋体"/>
              </w:rPr>
            </w:pPr>
          </w:p>
        </w:tc>
        <w:tc>
          <w:tcPr>
            <w:tcW w:w="1272" w:type="dxa"/>
            <w:vAlign w:val="center"/>
          </w:tcPr>
          <w:p w14:paraId="1468CD73" w14:textId="77777777" w:rsidR="000612FC" w:rsidRDefault="006B3B02">
            <w:pPr>
              <w:jc w:val="center"/>
            </w:pPr>
            <w:r>
              <w:rPr>
                <w:rFonts w:hint="eastAsia"/>
                <w:szCs w:val="22"/>
              </w:rPr>
              <w:t>邮箱</w:t>
            </w:r>
          </w:p>
        </w:tc>
        <w:tc>
          <w:tcPr>
            <w:tcW w:w="1440" w:type="dxa"/>
            <w:vAlign w:val="center"/>
          </w:tcPr>
          <w:p w14:paraId="139E687B" w14:textId="77777777" w:rsidR="000612FC" w:rsidRDefault="006B3B02">
            <w:pPr>
              <w:rPr>
                <w:rFonts w:eastAsia="宋体"/>
              </w:rPr>
            </w:pPr>
            <w:r>
              <w:rPr>
                <w:rFonts w:hint="eastAsia"/>
                <w:szCs w:val="22"/>
              </w:rPr>
              <w:t xml:space="preserve"> </w:t>
            </w:r>
          </w:p>
        </w:tc>
        <w:tc>
          <w:tcPr>
            <w:tcW w:w="1116" w:type="dxa"/>
            <w:vAlign w:val="center"/>
          </w:tcPr>
          <w:p w14:paraId="3F1AF6E6" w14:textId="77777777" w:rsidR="000612FC" w:rsidRDefault="006B3B02">
            <w:pPr>
              <w:jc w:val="center"/>
            </w:pPr>
            <w:r>
              <w:rPr>
                <w:rFonts w:hint="eastAsia"/>
                <w:szCs w:val="22"/>
              </w:rPr>
              <w:t>地址</w:t>
            </w:r>
          </w:p>
        </w:tc>
        <w:tc>
          <w:tcPr>
            <w:tcW w:w="2510" w:type="dxa"/>
            <w:vAlign w:val="center"/>
          </w:tcPr>
          <w:p w14:paraId="087EA296" w14:textId="77777777" w:rsidR="000612FC" w:rsidRDefault="000612FC">
            <w:pPr>
              <w:rPr>
                <w:rFonts w:eastAsia="宋体"/>
              </w:rPr>
            </w:pPr>
          </w:p>
        </w:tc>
      </w:tr>
      <w:tr w:rsidR="000612FC" w14:paraId="59E97F1A" w14:textId="77777777">
        <w:trPr>
          <w:trHeight w:val="431"/>
        </w:trPr>
        <w:tc>
          <w:tcPr>
            <w:tcW w:w="1245" w:type="dxa"/>
            <w:vAlign w:val="center"/>
          </w:tcPr>
          <w:p w14:paraId="351C18DF" w14:textId="77777777" w:rsidR="000612FC" w:rsidRDefault="006B3B02">
            <w:pPr>
              <w:jc w:val="center"/>
              <w:rPr>
                <w:rFonts w:ascii="微软雅黑" w:eastAsia="微软雅黑" w:hAnsi="微软雅黑"/>
                <w:szCs w:val="21"/>
              </w:rPr>
            </w:pPr>
            <w:r>
              <w:rPr>
                <w:rFonts w:hint="eastAsia"/>
                <w:kern w:val="1"/>
              </w:rPr>
              <w:t>推荐单位</w:t>
            </w:r>
          </w:p>
        </w:tc>
        <w:tc>
          <w:tcPr>
            <w:tcW w:w="3093" w:type="dxa"/>
            <w:vAlign w:val="center"/>
          </w:tcPr>
          <w:p w14:paraId="11F2FE0D" w14:textId="043748B6" w:rsidR="000612FC" w:rsidRDefault="006B3B02">
            <w:pPr>
              <w:jc w:val="left"/>
              <w:rPr>
                <w:szCs w:val="22"/>
              </w:rPr>
            </w:pPr>
            <w:r>
              <w:rPr>
                <w:rFonts w:ascii="宋体" w:hAnsi="宋体" w:hint="eastAsia"/>
                <w:szCs w:val="21"/>
              </w:rPr>
              <w:t xml:space="preserve">□ 医院推荐     □ </w:t>
            </w:r>
            <w:r w:rsidR="00846C3D">
              <w:rPr>
                <w:rFonts w:ascii="宋体" w:hAnsi="宋体" w:hint="eastAsia"/>
                <w:szCs w:val="21"/>
              </w:rPr>
              <w:t>个人</w:t>
            </w:r>
            <w:r>
              <w:rPr>
                <w:rFonts w:ascii="宋体" w:hAnsi="宋体" w:hint="eastAsia"/>
                <w:szCs w:val="21"/>
              </w:rPr>
              <w:t>推荐   □ 媒体推荐</w:t>
            </w:r>
          </w:p>
        </w:tc>
        <w:tc>
          <w:tcPr>
            <w:tcW w:w="1272" w:type="dxa"/>
            <w:vAlign w:val="center"/>
          </w:tcPr>
          <w:p w14:paraId="320906CD" w14:textId="77777777" w:rsidR="000612FC" w:rsidRDefault="006B3B02">
            <w:pPr>
              <w:spacing w:line="260" w:lineRule="exact"/>
              <w:jc w:val="center"/>
              <w:rPr>
                <w:szCs w:val="22"/>
              </w:rPr>
            </w:pPr>
            <w:r>
              <w:rPr>
                <w:rFonts w:ascii="宋体" w:hAnsi="宋体" w:hint="eastAsia"/>
                <w:szCs w:val="21"/>
              </w:rPr>
              <w:t>联系方式</w:t>
            </w:r>
          </w:p>
        </w:tc>
        <w:tc>
          <w:tcPr>
            <w:tcW w:w="5066" w:type="dxa"/>
            <w:gridSpan w:val="3"/>
            <w:vAlign w:val="center"/>
          </w:tcPr>
          <w:p w14:paraId="1F56A44A" w14:textId="77777777" w:rsidR="000612FC" w:rsidRDefault="000612FC">
            <w:pPr>
              <w:jc w:val="center"/>
              <w:rPr>
                <w:rFonts w:eastAsia="宋体"/>
                <w:szCs w:val="22"/>
              </w:rPr>
            </w:pPr>
          </w:p>
        </w:tc>
      </w:tr>
      <w:tr w:rsidR="000612FC" w14:paraId="56E6BFCC" w14:textId="77777777" w:rsidTr="002A3D86">
        <w:trPr>
          <w:trHeight w:val="785"/>
        </w:trPr>
        <w:tc>
          <w:tcPr>
            <w:tcW w:w="1245" w:type="dxa"/>
            <w:vAlign w:val="center"/>
          </w:tcPr>
          <w:p w14:paraId="6DBDE893" w14:textId="77777777" w:rsidR="000612FC" w:rsidRDefault="006B3B02">
            <w:pPr>
              <w:jc w:val="center"/>
              <w:rPr>
                <w:b/>
                <w:bCs/>
                <w:kern w:val="1"/>
              </w:rPr>
            </w:pPr>
            <w:r>
              <w:rPr>
                <w:rFonts w:hint="eastAsia"/>
                <w:kern w:val="1"/>
              </w:rPr>
              <w:t>报名方向</w:t>
            </w:r>
          </w:p>
        </w:tc>
        <w:tc>
          <w:tcPr>
            <w:tcW w:w="9431" w:type="dxa"/>
            <w:gridSpan w:val="5"/>
            <w:vAlign w:val="center"/>
          </w:tcPr>
          <w:p w14:paraId="29905154" w14:textId="7F342384" w:rsidR="000612FC" w:rsidRDefault="006B3B02">
            <w:pPr>
              <w:widowControl/>
              <w:spacing w:line="400" w:lineRule="exact"/>
              <w:jc w:val="left"/>
              <w:textAlignment w:val="center"/>
              <w:rPr>
                <w:rFonts w:ascii="仿宋" w:hAnsi="仿宋" w:cs="仿宋"/>
                <w:color w:val="000000"/>
                <w:sz w:val="28"/>
                <w:szCs w:val="28"/>
              </w:rPr>
            </w:pPr>
            <w:r>
              <w:rPr>
                <w:rFonts w:ascii="宋体" w:hAnsi="宋体" w:hint="eastAsia"/>
                <w:szCs w:val="21"/>
              </w:rPr>
              <w:t>□ 2020强县域 千县行——优秀县级医院    □ 2020强县域 千县行——特别致敬</w:t>
            </w:r>
            <w:r w:rsidR="00846C3D">
              <w:rPr>
                <w:rFonts w:ascii="宋体" w:hAnsi="宋体" w:hint="eastAsia"/>
                <w:szCs w:val="21"/>
              </w:rPr>
              <w:t>医院</w:t>
            </w:r>
          </w:p>
          <w:p w14:paraId="208CDC28" w14:textId="77777777" w:rsidR="000612FC" w:rsidRDefault="006B3B02">
            <w:pPr>
              <w:rPr>
                <w:rFonts w:ascii="宋体" w:eastAsia="宋体" w:hAnsi="宋体"/>
                <w:szCs w:val="21"/>
              </w:rPr>
            </w:pPr>
            <w:r>
              <w:rPr>
                <w:rFonts w:ascii="宋体" w:hAnsi="宋体" w:hint="eastAsia"/>
                <w:szCs w:val="21"/>
              </w:rPr>
              <w:t>□ 2020强县域 千县行——卓越院长</w:t>
            </w:r>
          </w:p>
        </w:tc>
      </w:tr>
      <w:tr w:rsidR="000612FC" w14:paraId="21802901" w14:textId="77777777">
        <w:trPr>
          <w:trHeight w:val="3037"/>
        </w:trPr>
        <w:tc>
          <w:tcPr>
            <w:tcW w:w="1245" w:type="dxa"/>
            <w:vAlign w:val="center"/>
          </w:tcPr>
          <w:p w14:paraId="6D58EA12" w14:textId="77777777" w:rsidR="000612FC" w:rsidRDefault="006B3B02">
            <w:pPr>
              <w:widowControl/>
              <w:spacing w:line="400" w:lineRule="exact"/>
              <w:jc w:val="left"/>
              <w:textAlignment w:val="center"/>
              <w:rPr>
                <w:kern w:val="1"/>
              </w:rPr>
            </w:pPr>
            <w:r>
              <w:rPr>
                <w:rFonts w:hint="eastAsia"/>
                <w:kern w:val="1"/>
              </w:rPr>
              <w:t>全国县级医院综合能力提升典型案例</w:t>
            </w:r>
          </w:p>
          <w:p w14:paraId="0718A323" w14:textId="77777777" w:rsidR="000612FC" w:rsidRDefault="006B3B02">
            <w:pPr>
              <w:pStyle w:val="a0"/>
              <w:rPr>
                <w:rFonts w:asciiTheme="minorHAnsi" w:eastAsiaTheme="minorEastAsia" w:hAnsiTheme="minorHAnsi" w:cstheme="minorBidi"/>
                <w:color w:val="auto"/>
                <w:kern w:val="1"/>
                <w:sz w:val="21"/>
                <w:szCs w:val="24"/>
              </w:rPr>
            </w:pPr>
            <w:r>
              <w:rPr>
                <w:rFonts w:asciiTheme="minorHAnsi" w:eastAsiaTheme="minorEastAsia" w:hAnsiTheme="minorHAnsi" w:cstheme="minorBidi" w:hint="eastAsia"/>
                <w:color w:val="auto"/>
                <w:kern w:val="1"/>
                <w:sz w:val="21"/>
                <w:szCs w:val="24"/>
              </w:rPr>
              <w:t>（医院篇）</w:t>
            </w:r>
          </w:p>
          <w:p w14:paraId="57372D16" w14:textId="77777777" w:rsidR="000612FC" w:rsidRDefault="000612FC">
            <w:pPr>
              <w:jc w:val="center"/>
              <w:rPr>
                <w:kern w:val="1"/>
              </w:rPr>
            </w:pPr>
          </w:p>
        </w:tc>
        <w:tc>
          <w:tcPr>
            <w:tcW w:w="9431" w:type="dxa"/>
            <w:gridSpan w:val="5"/>
            <w:vAlign w:val="center"/>
          </w:tcPr>
          <w:p w14:paraId="7AC987BF" w14:textId="100F5352" w:rsidR="000612FC" w:rsidRDefault="006B3B02">
            <w:pPr>
              <w:widowControl/>
              <w:spacing w:line="400" w:lineRule="exact"/>
              <w:jc w:val="left"/>
              <w:textAlignment w:val="center"/>
              <w:rPr>
                <w:rFonts w:ascii="宋体" w:eastAsia="宋体" w:hAnsi="宋体" w:cs="宋体"/>
                <w:color w:val="000000"/>
                <w:szCs w:val="21"/>
              </w:rPr>
            </w:pPr>
            <w:r>
              <w:rPr>
                <w:rFonts w:ascii="宋体" w:eastAsia="宋体" w:hAnsi="宋体" w:cs="宋体" w:hint="eastAsia"/>
                <w:szCs w:val="21"/>
              </w:rPr>
              <w:t>优秀县级医院</w:t>
            </w:r>
            <w:r w:rsidR="00846C3D">
              <w:rPr>
                <w:rFonts w:ascii="宋体" w:eastAsia="宋体" w:hAnsi="宋体" w:cs="宋体" w:hint="eastAsia"/>
                <w:szCs w:val="21"/>
              </w:rPr>
              <w:t xml:space="preserve"> </w:t>
            </w:r>
            <w:r w:rsidR="00846C3D">
              <w:rPr>
                <w:rFonts w:ascii="宋体" w:eastAsia="宋体" w:hAnsi="宋体" w:cs="宋体"/>
                <w:szCs w:val="21"/>
              </w:rPr>
              <w:t xml:space="preserve"> </w:t>
            </w:r>
            <w:r>
              <w:rPr>
                <w:rFonts w:ascii="宋体" w:eastAsia="宋体" w:hAnsi="宋体" w:cs="宋体" w:hint="eastAsia"/>
                <w:szCs w:val="21"/>
              </w:rPr>
              <w:t>案例填写方向</w:t>
            </w:r>
          </w:p>
          <w:p w14:paraId="206993AA" w14:textId="77777777" w:rsidR="000612FC" w:rsidRDefault="006B3B02" w:rsidP="00846C3D">
            <w:pPr>
              <w:widowControl/>
              <w:numPr>
                <w:ilvl w:val="0"/>
                <w:numId w:val="4"/>
              </w:numPr>
              <w:spacing w:line="400" w:lineRule="exact"/>
              <w:jc w:val="left"/>
              <w:textAlignment w:val="center"/>
              <w:rPr>
                <w:rFonts w:ascii="宋体" w:eastAsia="宋体" w:hAnsi="宋体" w:cs="宋体"/>
                <w:szCs w:val="21"/>
              </w:rPr>
            </w:pPr>
            <w:r>
              <w:rPr>
                <w:rFonts w:ascii="宋体" w:eastAsia="宋体" w:hAnsi="宋体" w:cs="宋体" w:hint="eastAsia"/>
                <w:szCs w:val="21"/>
              </w:rPr>
              <w:t>加强人才队伍建设方面的亮点举措</w:t>
            </w:r>
          </w:p>
          <w:p w14:paraId="0D529C2E" w14:textId="77777777" w:rsidR="000612FC" w:rsidRDefault="006B3B02" w:rsidP="00846C3D">
            <w:pPr>
              <w:widowControl/>
              <w:numPr>
                <w:ilvl w:val="0"/>
                <w:numId w:val="4"/>
              </w:numPr>
              <w:spacing w:line="400" w:lineRule="exact"/>
              <w:jc w:val="left"/>
              <w:textAlignment w:val="center"/>
              <w:rPr>
                <w:rFonts w:ascii="宋体" w:eastAsia="宋体" w:hAnsi="宋体" w:cs="宋体"/>
                <w:szCs w:val="21"/>
              </w:rPr>
            </w:pPr>
            <w:r>
              <w:rPr>
                <w:rFonts w:ascii="宋体" w:eastAsia="宋体" w:hAnsi="宋体" w:cs="宋体" w:hint="eastAsia"/>
                <w:szCs w:val="21"/>
              </w:rPr>
              <w:t>在强化专科能力建设方面的亮点举措</w:t>
            </w:r>
          </w:p>
          <w:p w14:paraId="353E45C3" w14:textId="77777777" w:rsidR="000612FC" w:rsidRDefault="006B3B02" w:rsidP="00846C3D">
            <w:pPr>
              <w:widowControl/>
              <w:numPr>
                <w:ilvl w:val="0"/>
                <w:numId w:val="4"/>
              </w:numPr>
              <w:spacing w:line="400" w:lineRule="exact"/>
              <w:jc w:val="left"/>
              <w:textAlignment w:val="center"/>
              <w:rPr>
                <w:rFonts w:ascii="宋体" w:eastAsia="宋体" w:hAnsi="宋体" w:cs="宋体"/>
                <w:szCs w:val="21"/>
              </w:rPr>
            </w:pPr>
            <w:r>
              <w:rPr>
                <w:rFonts w:ascii="宋体" w:eastAsia="宋体" w:hAnsi="宋体" w:cs="宋体" w:hint="eastAsia"/>
                <w:szCs w:val="21"/>
              </w:rPr>
              <w:t>在加强医院管理、优化服务流程、信息化建设方面的创新之举</w:t>
            </w:r>
          </w:p>
          <w:p w14:paraId="31071465" w14:textId="77777777" w:rsidR="000612FC" w:rsidRDefault="006B3B02" w:rsidP="00846C3D">
            <w:pPr>
              <w:pStyle w:val="a0"/>
              <w:numPr>
                <w:ilvl w:val="0"/>
                <w:numId w:val="4"/>
              </w:numPr>
              <w:rPr>
                <w:rFonts w:ascii="宋体" w:hAnsi="宋体" w:cs="宋体"/>
                <w:sz w:val="21"/>
                <w:szCs w:val="21"/>
              </w:rPr>
            </w:pPr>
            <w:r>
              <w:rPr>
                <w:rFonts w:ascii="宋体" w:hAnsi="宋体" w:cs="宋体" w:hint="eastAsia"/>
                <w:sz w:val="21"/>
                <w:szCs w:val="21"/>
              </w:rPr>
              <w:t>在自身能力建设基础上，发挥示范作用，推动周边医疗服务体系建设的亮点举措</w:t>
            </w:r>
          </w:p>
          <w:p w14:paraId="77A63643" w14:textId="77777777" w:rsidR="000612FC" w:rsidRDefault="000612FC">
            <w:pPr>
              <w:pStyle w:val="a0"/>
              <w:numPr>
                <w:ilvl w:val="255"/>
                <w:numId w:val="0"/>
              </w:numPr>
              <w:rPr>
                <w:rFonts w:ascii="宋体" w:hAnsi="宋体" w:cs="宋体"/>
                <w:sz w:val="21"/>
                <w:szCs w:val="21"/>
              </w:rPr>
            </w:pPr>
          </w:p>
          <w:p w14:paraId="3E7CA4CC" w14:textId="6E882088" w:rsidR="000612FC" w:rsidRDefault="006B3B02">
            <w:pPr>
              <w:widowControl/>
              <w:spacing w:line="400" w:lineRule="exact"/>
              <w:jc w:val="left"/>
              <w:textAlignment w:val="center"/>
              <w:rPr>
                <w:rFonts w:ascii="宋体" w:eastAsia="宋体" w:hAnsi="宋体" w:cs="宋体"/>
                <w:szCs w:val="21"/>
              </w:rPr>
            </w:pPr>
            <w:r>
              <w:rPr>
                <w:rFonts w:ascii="宋体" w:eastAsia="宋体" w:hAnsi="宋体" w:cs="宋体" w:hint="eastAsia"/>
                <w:szCs w:val="21"/>
              </w:rPr>
              <w:t>特别致敬</w:t>
            </w:r>
            <w:r w:rsidR="00846C3D">
              <w:rPr>
                <w:rFonts w:ascii="宋体" w:eastAsia="宋体" w:hAnsi="宋体" w:cs="宋体" w:hint="eastAsia"/>
                <w:szCs w:val="21"/>
              </w:rPr>
              <w:t xml:space="preserve">医院 </w:t>
            </w:r>
            <w:r w:rsidR="00846C3D">
              <w:rPr>
                <w:rFonts w:ascii="宋体" w:eastAsia="宋体" w:hAnsi="宋体" w:cs="宋体"/>
                <w:szCs w:val="21"/>
              </w:rPr>
              <w:t xml:space="preserve"> </w:t>
            </w:r>
            <w:r>
              <w:rPr>
                <w:rFonts w:ascii="宋体" w:eastAsia="宋体" w:hAnsi="宋体" w:cs="宋体" w:hint="eastAsia"/>
                <w:szCs w:val="21"/>
              </w:rPr>
              <w:t>案例填写方向</w:t>
            </w:r>
          </w:p>
          <w:p w14:paraId="4ECAF4B5" w14:textId="77777777" w:rsidR="000612FC" w:rsidRDefault="006B3B02" w:rsidP="00846C3D">
            <w:pPr>
              <w:pStyle w:val="a0"/>
              <w:numPr>
                <w:ilvl w:val="0"/>
                <w:numId w:val="6"/>
              </w:numPr>
              <w:rPr>
                <w:rFonts w:ascii="宋体" w:hAnsi="宋体" w:cs="宋体"/>
                <w:sz w:val="21"/>
                <w:szCs w:val="21"/>
              </w:rPr>
            </w:pPr>
            <w:r>
              <w:rPr>
                <w:rFonts w:ascii="宋体" w:hAnsi="宋体" w:cs="宋体" w:hint="eastAsia"/>
                <w:sz w:val="21"/>
                <w:szCs w:val="21"/>
              </w:rPr>
              <w:t>申报此奖项的县级医院属地必须为国家级贫困县</w:t>
            </w:r>
          </w:p>
          <w:p w14:paraId="5B1AB259" w14:textId="77777777" w:rsidR="000612FC" w:rsidRDefault="006B3B02" w:rsidP="00846C3D">
            <w:pPr>
              <w:pStyle w:val="a0"/>
              <w:numPr>
                <w:ilvl w:val="0"/>
                <w:numId w:val="6"/>
              </w:numPr>
              <w:rPr>
                <w:rFonts w:ascii="宋体" w:hAnsi="宋体" w:cs="宋体"/>
                <w:sz w:val="21"/>
                <w:szCs w:val="21"/>
              </w:rPr>
            </w:pPr>
            <w:r>
              <w:rPr>
                <w:rFonts w:ascii="宋体" w:hAnsi="宋体" w:cs="宋体" w:hint="eastAsia"/>
                <w:sz w:val="21"/>
                <w:szCs w:val="21"/>
              </w:rPr>
              <w:t>加强人才队伍建设方面的亮点举措</w:t>
            </w:r>
          </w:p>
          <w:p w14:paraId="2A38DE12" w14:textId="77777777" w:rsidR="000612FC" w:rsidRDefault="006B3B02" w:rsidP="00846C3D">
            <w:pPr>
              <w:pStyle w:val="a0"/>
              <w:numPr>
                <w:ilvl w:val="0"/>
                <w:numId w:val="6"/>
              </w:numPr>
              <w:rPr>
                <w:rFonts w:ascii="宋体" w:hAnsi="宋体" w:cs="宋体"/>
                <w:sz w:val="21"/>
                <w:szCs w:val="21"/>
              </w:rPr>
            </w:pPr>
            <w:r>
              <w:rPr>
                <w:rFonts w:ascii="宋体" w:hAnsi="宋体" w:cs="宋体" w:hint="eastAsia"/>
                <w:sz w:val="21"/>
                <w:szCs w:val="21"/>
              </w:rPr>
              <w:t>在强化专科能力建设方面的亮点举措</w:t>
            </w:r>
          </w:p>
          <w:p w14:paraId="2C722C14" w14:textId="77777777" w:rsidR="000612FC" w:rsidRDefault="006B3B02" w:rsidP="00846C3D">
            <w:pPr>
              <w:pStyle w:val="a0"/>
              <w:numPr>
                <w:ilvl w:val="0"/>
                <w:numId w:val="6"/>
              </w:numPr>
              <w:rPr>
                <w:rFonts w:ascii="宋体" w:hAnsi="宋体" w:cs="宋体"/>
                <w:sz w:val="21"/>
                <w:szCs w:val="21"/>
              </w:rPr>
            </w:pPr>
            <w:r>
              <w:rPr>
                <w:rFonts w:ascii="宋体" w:hAnsi="宋体" w:cs="宋体" w:hint="eastAsia"/>
                <w:sz w:val="21"/>
                <w:szCs w:val="21"/>
              </w:rPr>
              <w:t>在加强医院管理、优化服务流程、信息化建设方面的创新之举</w:t>
            </w:r>
          </w:p>
          <w:p w14:paraId="7EABD7BB" w14:textId="6C63ECBF" w:rsidR="00846C3D" w:rsidRPr="00846C3D" w:rsidRDefault="00846C3D" w:rsidP="00846C3D">
            <w:pPr>
              <w:pStyle w:val="a0"/>
              <w:numPr>
                <w:ilvl w:val="0"/>
                <w:numId w:val="6"/>
              </w:numPr>
              <w:rPr>
                <w:rFonts w:ascii="宋体" w:hAnsi="宋体" w:cs="宋体"/>
                <w:sz w:val="21"/>
                <w:szCs w:val="21"/>
              </w:rPr>
            </w:pPr>
            <w:r>
              <w:rPr>
                <w:rFonts w:ascii="宋体" w:hAnsi="宋体" w:cs="宋体" w:hint="eastAsia"/>
                <w:sz w:val="21"/>
                <w:szCs w:val="21"/>
              </w:rPr>
              <w:t>在自身能力建设基础上，发挥示范作用，推动周边医疗服务体系建设的亮点举措</w:t>
            </w:r>
          </w:p>
        </w:tc>
      </w:tr>
      <w:tr w:rsidR="000612FC" w14:paraId="644328AF" w14:textId="77777777">
        <w:trPr>
          <w:trHeight w:val="2683"/>
        </w:trPr>
        <w:tc>
          <w:tcPr>
            <w:tcW w:w="1245" w:type="dxa"/>
            <w:vAlign w:val="center"/>
          </w:tcPr>
          <w:p w14:paraId="4CB1DFCF" w14:textId="77777777" w:rsidR="000612FC" w:rsidRDefault="006B3B02">
            <w:pPr>
              <w:widowControl/>
              <w:spacing w:line="400" w:lineRule="exact"/>
              <w:jc w:val="left"/>
              <w:textAlignment w:val="center"/>
              <w:rPr>
                <w:kern w:val="1"/>
              </w:rPr>
            </w:pPr>
            <w:r>
              <w:rPr>
                <w:rFonts w:hint="eastAsia"/>
                <w:kern w:val="1"/>
              </w:rPr>
              <w:t>全国县级医院综合能力提升典型案例</w:t>
            </w:r>
          </w:p>
          <w:p w14:paraId="5EE3D6DF" w14:textId="77777777" w:rsidR="000612FC" w:rsidRDefault="006B3B02">
            <w:pPr>
              <w:pStyle w:val="a0"/>
            </w:pPr>
            <w:r>
              <w:rPr>
                <w:rFonts w:asciiTheme="minorHAnsi" w:eastAsiaTheme="minorEastAsia" w:hAnsiTheme="minorHAnsi" w:cstheme="minorBidi" w:hint="eastAsia"/>
                <w:color w:val="auto"/>
                <w:kern w:val="1"/>
                <w:sz w:val="21"/>
                <w:szCs w:val="24"/>
              </w:rPr>
              <w:t>（院长篇）</w:t>
            </w:r>
          </w:p>
          <w:p w14:paraId="65B71E92" w14:textId="77777777" w:rsidR="000612FC" w:rsidRDefault="000612FC">
            <w:pPr>
              <w:jc w:val="center"/>
            </w:pPr>
          </w:p>
        </w:tc>
        <w:tc>
          <w:tcPr>
            <w:tcW w:w="9431" w:type="dxa"/>
            <w:gridSpan w:val="5"/>
            <w:vAlign w:val="center"/>
          </w:tcPr>
          <w:p w14:paraId="3D1CC704" w14:textId="02A90F23" w:rsidR="000612FC" w:rsidRDefault="006B3B02">
            <w:pPr>
              <w:rPr>
                <w:rFonts w:ascii="宋体" w:eastAsia="宋体" w:hAnsi="宋体" w:cs="宋体"/>
                <w:szCs w:val="21"/>
              </w:rPr>
            </w:pPr>
            <w:r>
              <w:rPr>
                <w:rFonts w:ascii="宋体" w:eastAsia="宋体" w:hAnsi="宋体" w:cs="宋体" w:hint="eastAsia"/>
                <w:szCs w:val="21"/>
              </w:rPr>
              <w:t>卓越院长</w:t>
            </w:r>
            <w:r w:rsidR="00846C3D">
              <w:rPr>
                <w:rFonts w:ascii="宋体" w:eastAsia="宋体" w:hAnsi="宋体" w:cs="宋体" w:hint="eastAsia"/>
                <w:szCs w:val="21"/>
              </w:rPr>
              <w:t xml:space="preserve"> </w:t>
            </w:r>
            <w:r w:rsidR="00846C3D">
              <w:rPr>
                <w:rFonts w:ascii="宋体" w:eastAsia="宋体" w:hAnsi="宋体" w:cs="宋体"/>
                <w:szCs w:val="21"/>
              </w:rPr>
              <w:t xml:space="preserve"> </w:t>
            </w:r>
            <w:r>
              <w:rPr>
                <w:rFonts w:ascii="宋体" w:eastAsia="宋体" w:hAnsi="宋体" w:cs="宋体" w:hint="eastAsia"/>
                <w:szCs w:val="21"/>
              </w:rPr>
              <w:t>案例填写方向</w:t>
            </w:r>
          </w:p>
          <w:p w14:paraId="140BC796" w14:textId="174A386D" w:rsidR="000612FC" w:rsidRDefault="006B3B02">
            <w:pPr>
              <w:pStyle w:val="a0"/>
              <w:rPr>
                <w:rFonts w:ascii="宋体" w:hAnsi="宋体" w:cs="宋体"/>
                <w:color w:val="auto"/>
                <w:kern w:val="2"/>
                <w:sz w:val="21"/>
                <w:szCs w:val="21"/>
              </w:rPr>
            </w:pPr>
            <w:r>
              <w:rPr>
                <w:rFonts w:ascii="宋体" w:hAnsi="宋体" w:cs="宋体" w:hint="eastAsia"/>
                <w:color w:val="auto"/>
                <w:kern w:val="2"/>
                <w:sz w:val="21"/>
                <w:szCs w:val="21"/>
              </w:rPr>
              <w:t>1.认真贯彻落实贯彻落实党的精神，扎实落实国家卫生工作方针政策，积极参与县级医院</w:t>
            </w:r>
            <w:r w:rsidR="00846C3D">
              <w:rPr>
                <w:rFonts w:ascii="宋体" w:hAnsi="宋体" w:cs="宋体" w:hint="eastAsia"/>
                <w:color w:val="auto"/>
                <w:kern w:val="2"/>
                <w:sz w:val="21"/>
                <w:szCs w:val="21"/>
              </w:rPr>
              <w:t>综合</w:t>
            </w:r>
            <w:r>
              <w:rPr>
                <w:rFonts w:ascii="宋体" w:hAnsi="宋体" w:cs="宋体" w:hint="eastAsia"/>
                <w:color w:val="auto"/>
                <w:kern w:val="2"/>
                <w:sz w:val="21"/>
                <w:szCs w:val="21"/>
              </w:rPr>
              <w:t>能力提升工作并取得良好成效。</w:t>
            </w:r>
          </w:p>
          <w:p w14:paraId="22F484E2" w14:textId="77777777" w:rsidR="000612FC" w:rsidRDefault="006B3B02">
            <w:pPr>
              <w:pStyle w:val="a0"/>
              <w:rPr>
                <w:rFonts w:ascii="宋体" w:hAnsi="宋体" w:cs="宋体"/>
                <w:color w:val="auto"/>
                <w:kern w:val="2"/>
                <w:sz w:val="21"/>
                <w:szCs w:val="21"/>
              </w:rPr>
            </w:pPr>
            <w:r>
              <w:rPr>
                <w:rFonts w:ascii="宋体" w:hAnsi="宋体" w:cs="宋体" w:hint="eastAsia"/>
                <w:color w:val="auto"/>
                <w:kern w:val="2"/>
                <w:sz w:val="21"/>
                <w:szCs w:val="21"/>
              </w:rPr>
              <w:t xml:space="preserve">2.重视医德医风建设和党风廉政建设，医院的服务质量和效率受到社会和行业的认可。 </w:t>
            </w:r>
          </w:p>
          <w:p w14:paraId="199A9F35" w14:textId="77777777" w:rsidR="000612FC" w:rsidRDefault="006B3B02">
            <w:pPr>
              <w:pStyle w:val="a0"/>
              <w:rPr>
                <w:rFonts w:ascii="宋体" w:hAnsi="宋体" w:cs="宋体"/>
                <w:sz w:val="21"/>
                <w:szCs w:val="21"/>
              </w:rPr>
            </w:pPr>
            <w:r>
              <w:rPr>
                <w:rFonts w:ascii="宋体" w:hAnsi="宋体" w:cs="宋体" w:hint="eastAsia"/>
                <w:color w:val="auto"/>
                <w:kern w:val="2"/>
                <w:sz w:val="21"/>
                <w:szCs w:val="21"/>
              </w:rPr>
              <w:t>3.具有较高的现代医院管理水平和领导能力，重视医院内涵建设和学科人才队伍建设，在医院管理方面取得了创新性业绩。</w:t>
            </w:r>
          </w:p>
          <w:p w14:paraId="5BDA6435" w14:textId="77777777" w:rsidR="000612FC" w:rsidRDefault="006B3B02">
            <w:pPr>
              <w:pStyle w:val="a0"/>
            </w:pPr>
            <w:r>
              <w:rPr>
                <w:rFonts w:ascii="宋体" w:hAnsi="宋体" w:cs="宋体" w:hint="eastAsia"/>
                <w:color w:val="auto"/>
                <w:kern w:val="2"/>
                <w:sz w:val="21"/>
                <w:szCs w:val="21"/>
              </w:rPr>
              <w:t>4.积极承担社会责任，所在医院在疫情防控、应对突发公共卫生事件中表现突出。</w:t>
            </w:r>
          </w:p>
        </w:tc>
      </w:tr>
      <w:tr w:rsidR="000612FC" w14:paraId="560D3C23" w14:textId="77777777">
        <w:trPr>
          <w:trHeight w:val="1704"/>
        </w:trPr>
        <w:tc>
          <w:tcPr>
            <w:tcW w:w="1245" w:type="dxa"/>
            <w:vAlign w:val="center"/>
          </w:tcPr>
          <w:p w14:paraId="7F7C9CD5" w14:textId="77777777" w:rsidR="000612FC" w:rsidRDefault="006B3B02">
            <w:pPr>
              <w:jc w:val="center"/>
              <w:rPr>
                <w:rFonts w:ascii="宋体" w:hAnsi="宋体"/>
              </w:rPr>
            </w:pPr>
            <w:r>
              <w:rPr>
                <w:rFonts w:ascii="宋体" w:hAnsi="宋体" w:hint="eastAsia"/>
              </w:rPr>
              <w:t>备注</w:t>
            </w:r>
          </w:p>
        </w:tc>
        <w:tc>
          <w:tcPr>
            <w:tcW w:w="9431" w:type="dxa"/>
            <w:gridSpan w:val="5"/>
            <w:vAlign w:val="center"/>
          </w:tcPr>
          <w:p w14:paraId="295B0363" w14:textId="7D502748" w:rsidR="005E4B1E" w:rsidRDefault="006B3B02">
            <w:pPr>
              <w:numPr>
                <w:ilvl w:val="0"/>
                <w:numId w:val="5"/>
              </w:numPr>
              <w:spacing w:line="300" w:lineRule="exact"/>
            </w:pPr>
            <w:r>
              <w:rPr>
                <w:rFonts w:hint="eastAsia"/>
              </w:rPr>
              <w:t>活动说明及申报表可登录人民网“强县域</w:t>
            </w:r>
            <w:r>
              <w:rPr>
                <w:rFonts w:hint="eastAsia"/>
              </w:rPr>
              <w:t xml:space="preserve"> </w:t>
            </w:r>
            <w:r>
              <w:rPr>
                <w:rFonts w:hint="eastAsia"/>
              </w:rPr>
              <w:t>千县行”专题</w:t>
            </w:r>
            <w:r w:rsidR="004A1CD8">
              <w:rPr>
                <w:rFonts w:hint="eastAsia"/>
              </w:rPr>
              <w:t>页面下载。</w:t>
            </w:r>
          </w:p>
          <w:p w14:paraId="6A99A0B8" w14:textId="69A89255" w:rsidR="000612FC" w:rsidRDefault="005E4B1E" w:rsidP="005E4B1E">
            <w:pPr>
              <w:spacing w:line="300" w:lineRule="exact"/>
            </w:pPr>
            <w:r>
              <w:rPr>
                <w:rFonts w:hint="eastAsia"/>
              </w:rPr>
              <w:t>（</w:t>
            </w:r>
            <w:r w:rsidR="004A1CD8">
              <w:rPr>
                <w:rFonts w:hint="eastAsia"/>
              </w:rPr>
              <w:t>专题地址：</w:t>
            </w:r>
            <w:r w:rsidRPr="004A1CD8">
              <w:rPr>
                <w:rStyle w:val="ab"/>
                <w:szCs w:val="22"/>
              </w:rPr>
              <w:t>http://health.people.com.cn/GB/26466/423696/429105/index.html</w:t>
            </w:r>
            <w:r>
              <w:rPr>
                <w:rFonts w:hint="eastAsia"/>
              </w:rPr>
              <w:t>）</w:t>
            </w:r>
          </w:p>
          <w:p w14:paraId="22B7B11A" w14:textId="77777777" w:rsidR="000612FC" w:rsidRDefault="006B3B02">
            <w:pPr>
              <w:numPr>
                <w:ilvl w:val="0"/>
                <w:numId w:val="5"/>
              </w:numPr>
              <w:spacing w:line="300" w:lineRule="exact"/>
              <w:rPr>
                <w:szCs w:val="22"/>
              </w:rPr>
            </w:pPr>
            <w:r>
              <w:rPr>
                <w:rFonts w:hint="eastAsia"/>
              </w:rPr>
              <w:t>申报材料请于</w:t>
            </w:r>
            <w:r>
              <w:rPr>
                <w:rFonts w:hint="eastAsia"/>
              </w:rPr>
              <w:t>2020</w:t>
            </w:r>
            <w:r>
              <w:rPr>
                <w:rFonts w:hint="eastAsia"/>
              </w:rPr>
              <w:t>年</w:t>
            </w:r>
            <w:r>
              <w:rPr>
                <w:rFonts w:hint="eastAsia"/>
              </w:rPr>
              <w:t>12</w:t>
            </w:r>
            <w:r>
              <w:rPr>
                <w:rFonts w:hint="eastAsia"/>
              </w:rPr>
              <w:t>月</w:t>
            </w:r>
            <w:r>
              <w:rPr>
                <w:rFonts w:hint="eastAsia"/>
              </w:rPr>
              <w:t>20</w:t>
            </w:r>
            <w:r>
              <w:rPr>
                <w:rFonts w:hint="eastAsia"/>
              </w:rPr>
              <w:t>日前电子版发送至</w:t>
            </w:r>
            <w:r>
              <w:rPr>
                <w:rFonts w:hint="eastAsia"/>
                <w:szCs w:val="22"/>
              </w:rPr>
              <w:t>：</w:t>
            </w:r>
            <w:hyperlink r:id="rId8" w:history="1">
              <w:r>
                <w:rPr>
                  <w:rStyle w:val="ab"/>
                  <w:rFonts w:hint="eastAsia"/>
                  <w:szCs w:val="22"/>
                </w:rPr>
                <w:t>lirongjun2020@people.cn</w:t>
              </w:r>
            </w:hyperlink>
            <w:r>
              <w:rPr>
                <w:rFonts w:hint="eastAsia"/>
                <w:szCs w:val="22"/>
              </w:rPr>
              <w:t xml:space="preserve"> </w:t>
            </w:r>
            <w:r>
              <w:rPr>
                <w:rFonts w:hint="eastAsia"/>
                <w:szCs w:val="22"/>
              </w:rPr>
              <w:t>，邮件标题请按“具体参报奖项</w:t>
            </w:r>
            <w:r>
              <w:rPr>
                <w:rFonts w:hint="eastAsia"/>
                <w:szCs w:val="22"/>
              </w:rPr>
              <w:t>-</w:t>
            </w:r>
            <w:r>
              <w:rPr>
                <w:rFonts w:hint="eastAsia"/>
                <w:szCs w:val="22"/>
              </w:rPr>
              <w:t>省份</w:t>
            </w:r>
            <w:r>
              <w:rPr>
                <w:rFonts w:hint="eastAsia"/>
                <w:szCs w:val="22"/>
              </w:rPr>
              <w:t>-</w:t>
            </w:r>
            <w:r>
              <w:rPr>
                <w:rFonts w:hint="eastAsia"/>
                <w:szCs w:val="22"/>
              </w:rPr>
              <w:t>医院名称”样式填写。</w:t>
            </w:r>
          </w:p>
          <w:p w14:paraId="7C11E864" w14:textId="77777777" w:rsidR="000612FC" w:rsidRDefault="006B3B02">
            <w:pPr>
              <w:numPr>
                <w:ilvl w:val="0"/>
                <w:numId w:val="5"/>
              </w:numPr>
              <w:spacing w:line="300" w:lineRule="exact"/>
              <w:rPr>
                <w:rFonts w:eastAsia="宋体"/>
              </w:rPr>
            </w:pPr>
            <w:r>
              <w:rPr>
                <w:rFonts w:hint="eastAsia"/>
                <w:szCs w:val="22"/>
              </w:rPr>
              <w:t>申报材料建议字数为</w:t>
            </w:r>
            <w:r>
              <w:rPr>
                <w:rFonts w:hint="eastAsia"/>
                <w:szCs w:val="22"/>
              </w:rPr>
              <w:t>2000</w:t>
            </w:r>
            <w:r>
              <w:rPr>
                <w:rFonts w:hint="eastAsia"/>
                <w:szCs w:val="22"/>
              </w:rPr>
              <w:t>字以内，格式以</w:t>
            </w:r>
            <w:r>
              <w:rPr>
                <w:rFonts w:hint="eastAsia"/>
                <w:szCs w:val="22"/>
              </w:rPr>
              <w:t>word</w:t>
            </w:r>
            <w:r>
              <w:rPr>
                <w:rFonts w:hint="eastAsia"/>
                <w:szCs w:val="22"/>
              </w:rPr>
              <w:t>形式，紧扣主题填写方向。</w:t>
            </w:r>
          </w:p>
        </w:tc>
      </w:tr>
    </w:tbl>
    <w:p w14:paraId="3FE68E16" w14:textId="77777777" w:rsidR="000612FC" w:rsidRDefault="000612FC" w:rsidP="00846C3D">
      <w:pPr>
        <w:widowControl/>
        <w:spacing w:line="400" w:lineRule="exact"/>
        <w:jc w:val="left"/>
        <w:textAlignment w:val="center"/>
        <w:rPr>
          <w:rFonts w:ascii="仿宋" w:eastAsia="仿宋" w:hAnsi="仿宋" w:cs="仿宋"/>
          <w:color w:val="000000"/>
          <w:sz w:val="28"/>
          <w:szCs w:val="28"/>
        </w:rPr>
      </w:pPr>
    </w:p>
    <w:sectPr w:rsidR="000612FC">
      <w:headerReference w:type="default" r:id="rId9"/>
      <w:pgSz w:w="11906" w:h="16838"/>
      <w:pgMar w:top="1984"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4C9A3" w14:textId="77777777" w:rsidR="00ED194C" w:rsidRDefault="00ED194C">
      <w:r>
        <w:separator/>
      </w:r>
    </w:p>
  </w:endnote>
  <w:endnote w:type="continuationSeparator" w:id="0">
    <w:p w14:paraId="11108B12" w14:textId="77777777" w:rsidR="00ED194C" w:rsidRDefault="00ED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auto"/>
    <w:pitch w:val="default"/>
    <w:sig w:usb0="00000000" w:usb1="00000000" w:usb2="00000010" w:usb3="00000000" w:csb0="00000001" w:csb1="00000000"/>
  </w:font>
  <w:font w:name="STZhongsong">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242B5" w14:textId="77777777" w:rsidR="00ED194C" w:rsidRDefault="00ED194C">
      <w:r>
        <w:separator/>
      </w:r>
    </w:p>
  </w:footnote>
  <w:footnote w:type="continuationSeparator" w:id="0">
    <w:p w14:paraId="666BEB36" w14:textId="77777777" w:rsidR="00ED194C" w:rsidRDefault="00ED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C84F8" w14:textId="77777777" w:rsidR="000612FC" w:rsidRDefault="006B3B02">
    <w:pPr>
      <w:pStyle w:val="a7"/>
    </w:pPr>
    <w:r>
      <w:rPr>
        <w:noProof/>
      </w:rPr>
      <w:drawing>
        <wp:anchor distT="0" distB="0" distL="114300" distR="114300" simplePos="0" relativeHeight="251663360" behindDoc="1" locked="0" layoutInCell="1" allowOverlap="1" wp14:anchorId="2CB2F568" wp14:editId="687D5C16">
          <wp:simplePos x="0" y="0"/>
          <wp:positionH relativeFrom="column">
            <wp:posOffset>2947035</wp:posOffset>
          </wp:positionH>
          <wp:positionV relativeFrom="paragraph">
            <wp:posOffset>-258445</wp:posOffset>
          </wp:positionV>
          <wp:extent cx="1087755" cy="415290"/>
          <wp:effectExtent l="15875" t="635" r="69850" b="71755"/>
          <wp:wrapTight wrapText="bothSides">
            <wp:wrapPolygon edited="0">
              <wp:start x="10579" y="-33"/>
              <wp:lineTo x="-315" y="-33"/>
              <wp:lineTo x="-315" y="23747"/>
              <wp:lineTo x="9066" y="24539"/>
              <wp:lineTo x="15724" y="24539"/>
              <wp:lineTo x="21474" y="23747"/>
              <wp:lineTo x="22684" y="22161"/>
              <wp:lineTo x="22684" y="3930"/>
              <wp:lineTo x="20869" y="1552"/>
              <wp:lineTo x="12698" y="-33"/>
              <wp:lineTo x="10579" y="-33"/>
            </wp:wrapPolygon>
          </wp:wrapTight>
          <wp:docPr id="1" name="人民网.png" descr="人民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人民网.png" descr="人民网.png"/>
                  <pic:cNvPicPr>
                    <a:picLocks noChangeAspect="1"/>
                  </pic:cNvPicPr>
                </pic:nvPicPr>
                <pic:blipFill>
                  <a:blip r:embed="rId1"/>
                  <a:stretch>
                    <a:fillRect/>
                  </a:stretch>
                </pic:blipFill>
                <pic:spPr>
                  <a:xfrm>
                    <a:off x="0" y="0"/>
                    <a:ext cx="1087755" cy="415290"/>
                  </a:xfrm>
                  <a:prstGeom prst="rect">
                    <a:avLst/>
                  </a:prstGeom>
                  <a:ln w="12700">
                    <a:miter lim="400000"/>
                    <a:headEnd/>
                    <a:tailEnd/>
                  </a:ln>
                  <a:effectLst>
                    <a:outerShdw blurRad="50800" dist="38100" dir="2700000" algn="tl" rotWithShape="0">
                      <a:schemeClr val="bg1">
                        <a:alpha val="40000"/>
                      </a:schemeClr>
                    </a:outerShdw>
                  </a:effectLst>
                </pic:spPr>
              </pic:pic>
            </a:graphicData>
          </a:graphic>
        </wp:anchor>
      </w:drawing>
    </w:r>
    <w:r>
      <w:rPr>
        <w:noProof/>
      </w:rPr>
      <w:drawing>
        <wp:anchor distT="0" distB="0" distL="114300" distR="114300" simplePos="0" relativeHeight="251662336" behindDoc="1" locked="0" layoutInCell="1" allowOverlap="1" wp14:anchorId="2C42B8DF" wp14:editId="16BB06AD">
          <wp:simplePos x="0" y="0"/>
          <wp:positionH relativeFrom="column">
            <wp:posOffset>4082415</wp:posOffset>
          </wp:positionH>
          <wp:positionV relativeFrom="paragraph">
            <wp:posOffset>-238760</wp:posOffset>
          </wp:positionV>
          <wp:extent cx="1315720" cy="403860"/>
          <wp:effectExtent l="0" t="0" r="10160" b="7620"/>
          <wp:wrapTight wrapText="bothSides">
            <wp:wrapPolygon edited="0">
              <wp:start x="9007" y="0"/>
              <wp:lineTo x="2502" y="0"/>
              <wp:lineTo x="0" y="3260"/>
              <wp:lineTo x="0" y="18747"/>
              <wp:lineTo x="4253" y="21192"/>
              <wp:lineTo x="12510" y="21192"/>
              <wp:lineTo x="17013" y="21192"/>
              <wp:lineTo x="21266" y="21192"/>
              <wp:lineTo x="21266" y="4891"/>
              <wp:lineTo x="10258" y="0"/>
              <wp:lineTo x="9007" y="0"/>
            </wp:wrapPolygon>
          </wp:wrapTight>
          <wp:docPr id="2" name="人民健康.png" descr="人民健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人民健康.png" descr="人民健康.png"/>
                  <pic:cNvPicPr>
                    <a:picLocks noChangeAspect="1"/>
                  </pic:cNvPicPr>
                </pic:nvPicPr>
                <pic:blipFill>
                  <a:blip r:embed="rId2"/>
                  <a:stretch>
                    <a:fillRect/>
                  </a:stretch>
                </pic:blipFill>
                <pic:spPr>
                  <a:xfrm>
                    <a:off x="0" y="0"/>
                    <a:ext cx="1315720" cy="403860"/>
                  </a:xfrm>
                  <a:prstGeom prst="rect">
                    <a:avLst/>
                  </a:prstGeom>
                  <a:noFill/>
                  <a:ln w="1270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75B3E5"/>
    <w:multiLevelType w:val="singleLevel"/>
    <w:tmpl w:val="CB75B3E5"/>
    <w:lvl w:ilvl="0">
      <w:start w:val="1"/>
      <w:numFmt w:val="chineseCounting"/>
      <w:suff w:val="nothing"/>
      <w:lvlText w:val="%1、"/>
      <w:lvlJc w:val="left"/>
      <w:rPr>
        <w:rFonts w:hint="eastAsia"/>
      </w:rPr>
    </w:lvl>
  </w:abstractNum>
  <w:abstractNum w:abstractNumId="1" w15:restartNumberingAfterBreak="0">
    <w:nsid w:val="0641FE09"/>
    <w:multiLevelType w:val="singleLevel"/>
    <w:tmpl w:val="0641FE09"/>
    <w:lvl w:ilvl="0">
      <w:start w:val="1"/>
      <w:numFmt w:val="decimal"/>
      <w:suff w:val="nothing"/>
      <w:lvlText w:val="%1、"/>
      <w:lvlJc w:val="left"/>
    </w:lvl>
  </w:abstractNum>
  <w:abstractNum w:abstractNumId="2" w15:restartNumberingAfterBreak="0">
    <w:nsid w:val="2D8D3166"/>
    <w:multiLevelType w:val="singleLevel"/>
    <w:tmpl w:val="50095DCD"/>
    <w:lvl w:ilvl="0">
      <w:start w:val="1"/>
      <w:numFmt w:val="decimal"/>
      <w:lvlText w:val="%1."/>
      <w:lvlJc w:val="left"/>
      <w:pPr>
        <w:tabs>
          <w:tab w:val="left" w:pos="312"/>
        </w:tabs>
      </w:pPr>
    </w:lvl>
  </w:abstractNum>
  <w:abstractNum w:abstractNumId="3" w15:restartNumberingAfterBreak="0">
    <w:nsid w:val="488CC8F7"/>
    <w:multiLevelType w:val="singleLevel"/>
    <w:tmpl w:val="488CC8F7"/>
    <w:lvl w:ilvl="0">
      <w:start w:val="1"/>
      <w:numFmt w:val="decimal"/>
      <w:suff w:val="nothing"/>
      <w:lvlText w:val="（%1）"/>
      <w:lvlJc w:val="left"/>
    </w:lvl>
  </w:abstractNum>
  <w:abstractNum w:abstractNumId="4" w15:restartNumberingAfterBreak="0">
    <w:nsid w:val="50095DCD"/>
    <w:multiLevelType w:val="singleLevel"/>
    <w:tmpl w:val="50095DCD"/>
    <w:lvl w:ilvl="0">
      <w:start w:val="1"/>
      <w:numFmt w:val="decimal"/>
      <w:lvlText w:val="%1."/>
      <w:lvlJc w:val="left"/>
      <w:pPr>
        <w:tabs>
          <w:tab w:val="left" w:pos="312"/>
        </w:tabs>
      </w:pPr>
    </w:lvl>
  </w:abstractNum>
  <w:abstractNum w:abstractNumId="5" w15:restartNumberingAfterBreak="0">
    <w:nsid w:val="72019250"/>
    <w:multiLevelType w:val="singleLevel"/>
    <w:tmpl w:val="72019250"/>
    <w:lvl w:ilvl="0">
      <w:start w:val="1"/>
      <w:numFmt w:val="decimal"/>
      <w:lvlText w:val="%1."/>
      <w:lvlJc w:val="left"/>
      <w:pPr>
        <w:tabs>
          <w:tab w:val="left" w:pos="312"/>
        </w:tabs>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1A"/>
    <w:rsid w:val="000026BA"/>
    <w:rsid w:val="000612FC"/>
    <w:rsid w:val="000846ED"/>
    <w:rsid w:val="000B454D"/>
    <w:rsid w:val="000C546A"/>
    <w:rsid w:val="00126F74"/>
    <w:rsid w:val="00135CEE"/>
    <w:rsid w:val="001E3FF0"/>
    <w:rsid w:val="0021502B"/>
    <w:rsid w:val="00220436"/>
    <w:rsid w:val="00242E21"/>
    <w:rsid w:val="002A3D86"/>
    <w:rsid w:val="00375D8D"/>
    <w:rsid w:val="003F4DFB"/>
    <w:rsid w:val="00470540"/>
    <w:rsid w:val="004A1CD8"/>
    <w:rsid w:val="005070C1"/>
    <w:rsid w:val="005474BD"/>
    <w:rsid w:val="005E4B1E"/>
    <w:rsid w:val="00631E30"/>
    <w:rsid w:val="0066171A"/>
    <w:rsid w:val="006675E4"/>
    <w:rsid w:val="006B3B02"/>
    <w:rsid w:val="006C609F"/>
    <w:rsid w:val="006E56EB"/>
    <w:rsid w:val="00846C3D"/>
    <w:rsid w:val="00897056"/>
    <w:rsid w:val="00956D5C"/>
    <w:rsid w:val="009764BD"/>
    <w:rsid w:val="00981F73"/>
    <w:rsid w:val="00A51A72"/>
    <w:rsid w:val="00B7083D"/>
    <w:rsid w:val="00C826C3"/>
    <w:rsid w:val="00C96F8E"/>
    <w:rsid w:val="00D041C4"/>
    <w:rsid w:val="00E423A7"/>
    <w:rsid w:val="00E6499B"/>
    <w:rsid w:val="00ED194C"/>
    <w:rsid w:val="00F240C7"/>
    <w:rsid w:val="00F4575F"/>
    <w:rsid w:val="00F81324"/>
    <w:rsid w:val="042F204C"/>
    <w:rsid w:val="0645357B"/>
    <w:rsid w:val="096E7C7F"/>
    <w:rsid w:val="09E02D50"/>
    <w:rsid w:val="11982FBD"/>
    <w:rsid w:val="12031B58"/>
    <w:rsid w:val="18085193"/>
    <w:rsid w:val="1F6C0F08"/>
    <w:rsid w:val="24932AE2"/>
    <w:rsid w:val="27AE6603"/>
    <w:rsid w:val="42367D6C"/>
    <w:rsid w:val="43BD032E"/>
    <w:rsid w:val="46F5232C"/>
    <w:rsid w:val="4E5A017A"/>
    <w:rsid w:val="570E7D0F"/>
    <w:rsid w:val="5BFC4547"/>
    <w:rsid w:val="625A30AC"/>
    <w:rsid w:val="64BD043F"/>
    <w:rsid w:val="668724D3"/>
    <w:rsid w:val="6BCE40E6"/>
    <w:rsid w:val="7E63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6B667"/>
  <w15:docId w15:val="{BF7BB157-078F-4C04-8CA5-48306082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Pr>
      <w:rFonts w:ascii="Times New Roman" w:eastAsia="宋体" w:hAnsi="Times New Roman" w:cs="Times New Roman"/>
      <w:color w:val="000000"/>
      <w:kern w:val="0"/>
      <w:sz w:val="28"/>
      <w:szCs w:val="28"/>
    </w:rPr>
  </w:style>
  <w:style w:type="paragraph" w:styleId="5">
    <w:name w:val="index 5"/>
    <w:basedOn w:val="a"/>
    <w:next w:val="a"/>
    <w:qFormat/>
    <w:pPr>
      <w:ind w:left="168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Times New Roman" w:eastAsia="宋体" w:hAnsi="Times New Roman" w:cs="Times New Roman"/>
      <w:kern w:val="0"/>
      <w:sz w:val="24"/>
    </w:rPr>
  </w:style>
  <w:style w:type="table" w:styleId="a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Pr>
      <w:b/>
    </w:rPr>
  </w:style>
  <w:style w:type="character" w:styleId="ab">
    <w:name w:val="Hyperlink"/>
    <w:basedOn w:val="a1"/>
    <w:uiPriority w:val="99"/>
    <w:unhideWhenUsed/>
    <w:qFormat/>
    <w:rPr>
      <w:color w:val="0000FF"/>
      <w:u w:val="single"/>
    </w:rPr>
  </w:style>
  <w:style w:type="character" w:customStyle="1" w:styleId="font31">
    <w:name w:val="font31"/>
    <w:basedOn w:val="a1"/>
    <w:qFormat/>
    <w:rPr>
      <w:rFonts w:ascii="等线" w:eastAsia="等线" w:hAnsi="等线" w:cs="等线" w:hint="eastAsia"/>
      <w:color w:val="000000"/>
      <w:sz w:val="22"/>
      <w:szCs w:val="22"/>
      <w:u w:val="none"/>
    </w:rPr>
  </w:style>
  <w:style w:type="paragraph" w:customStyle="1" w:styleId="p1">
    <w:name w:val="p1"/>
    <w:basedOn w:val="a"/>
    <w:qFormat/>
    <w:pPr>
      <w:spacing w:line="440" w:lineRule="atLeast"/>
      <w:jc w:val="left"/>
    </w:pPr>
    <w:rPr>
      <w:rFonts w:ascii="Helvetica Neue" w:eastAsia="Helvetica Neue" w:hAnsi="Helvetica Neue" w:cs="Times New Roman"/>
      <w:kern w:val="0"/>
      <w:sz w:val="30"/>
      <w:szCs w:val="30"/>
    </w:rPr>
  </w:style>
  <w:style w:type="character" w:customStyle="1" w:styleId="a5">
    <w:name w:val="批注框文本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irongjun@people.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妙妙</dc:creator>
  <cp:lastModifiedBy>xuxin</cp:lastModifiedBy>
  <cp:revision>2</cp:revision>
  <dcterms:created xsi:type="dcterms:W3CDTF">2020-12-09T08:34:00Z</dcterms:created>
  <dcterms:modified xsi:type="dcterms:W3CDTF">2020-12-09T08:34:00Z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