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eastAsia="zh-CN"/>
        </w:rPr>
        <w:t>附件：“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南海自然生态陈列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海洋活体生物养殖与维护项目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lang w:eastAsia="zh-CN"/>
        </w:rPr>
        <w:t>评分表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32"/>
        <w:gridCol w:w="876"/>
        <w:gridCol w:w="5568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评分项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5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评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分细则及说明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8"/>
                <w:vertAlign w:val="baseline"/>
                <w:lang w:eastAsia="zh-CN"/>
              </w:rPr>
              <w:t>标准分值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技术分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50分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技术参数响应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技术部分基础分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40分。供应方对第三部分《服务内容及要求》中各项技术要求及服务要求的响应情况逐一响应，一项不满足或未响应的扣2分，扣完为止。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注：文件中要求的技术要求及服务要求为基础要求，供应方响应优于或等于文件中的技术参数均不扣分。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项目实施及服务方案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项目总体实施工作部署合理，工作阶段划分明确、各项具体工作安排布置明确、依据充分，工作安排合理，得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0-3分。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供货时间节点计划及时间进度保证措施，得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0-2分。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应急调整、安全防范及货物质量控制管理体系及保障措施，得0-2分。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与海洋活体生物征集相关的配套服务，以及后期维护保养服务内容及措施，得0-3分。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商务分（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20分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类似项目业绩经验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供应方自2018年1月1日以来，承接过的类似项目业绩的，有一项得2分，满分6分。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证明材料：提供业绩合同复印件加盖公章复印件。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服务响应时间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服务期内，采购人出现供货、维护、保养等其他要求或发生其他应急或特殊情况时，接到采购人通知，供应方承诺提供1小时响应、3小时赶到项目现场、全天候（7×24小时）服务承诺的得2分。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证明材料：提供上述内容的书面承诺函加盖单位公章。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综合实力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具有中华人民共和国水生野生动物经营利用许可证；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具有中华人民共和国水生野生动物驯养繁殖许可证；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中华人民共和国海关报关单位注册登记证；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中华人民共和国进出境动物指定隔离检疫场使用证；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每提供一项得1分。满分4分。（未提供不得分）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本地化服务能力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供应方应具有较强的本地化服务能力，供应方在项目所在省份设立有常驻技术、服务支持机构的，且具有稳定的技术服务支持人员的得3分，未提供者不得分。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证明材料：提供工商注册资料或相关有效证明材料以及相关技术人员2019年1月至今任意3个月的社保缴纳证明等复印件加盖公章。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服务承诺</w:t>
            </w:r>
          </w:p>
        </w:tc>
        <w:tc>
          <w:tcPr>
            <w:tcW w:w="5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生物规格整齐，体质健壮无病伤；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生物检验检疫合格；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生物运至指定地点时成活率达95%以上，放流后15天内无大规模死亡；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专人驻场进行活体缸、设备间的日常维护；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针对活体缸、设备间管道、线路、器材损耗、设备老化、损坏、设计不合理问题，设计方案，有效解决；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服务承诺中以上全部满足得5分，一项不满足或未响应的扣1分，扣完为止。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价格分（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0"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将所有通过筛选的报价中最低价为评标基准价，其价格分为满分。其他供应方的价格分统一按照下列公式计算：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报价得分=（评标基准价/报价）×30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DFE83"/>
    <w:multiLevelType w:val="singleLevel"/>
    <w:tmpl w:val="885DFE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224F380"/>
    <w:multiLevelType w:val="singleLevel"/>
    <w:tmpl w:val="D224F3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mYyYWEwNGVlMjBhMzI5ZDg5MWRjNDM0ODcxNjEifQ=="/>
  </w:docVars>
  <w:rsids>
    <w:rsidRoot w:val="05F47DCE"/>
    <w:rsid w:val="05F47DCE"/>
    <w:rsid w:val="1F6D61B8"/>
    <w:rsid w:val="2FEC137B"/>
    <w:rsid w:val="30DF2C8E"/>
    <w:rsid w:val="317C55A2"/>
    <w:rsid w:val="3F32667F"/>
    <w:rsid w:val="40354679"/>
    <w:rsid w:val="4EA2112B"/>
    <w:rsid w:val="53E73A84"/>
    <w:rsid w:val="65855DEA"/>
    <w:rsid w:val="783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1035</Characters>
  <Lines>0</Lines>
  <Paragraphs>0</Paragraphs>
  <TotalTime>1</TotalTime>
  <ScaleCrop>false</ScaleCrop>
  <LinksUpToDate>false</LinksUpToDate>
  <CharactersWithSpaces>1035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2022-05-19T08:29:00Z</dcterms:created>
  <dc:creator>麽遙</dc:creator>
  <cp:lastModifiedBy>麽遙</cp:lastModifiedBy>
  <dcterms:modified xsi:type="dcterms:W3CDTF">2022-05-25T02:13:03Z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0F15B3BCDCDE474091E6C38B21607EAF</vt:lpwstr>
  </property>
</Properties>
</file>