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20" w:lineRule="exact"/>
        <w:jc w:val="left"/>
        <w:textAlignment w:val="auto"/>
        <w:rPr>
          <w:rStyle w:val="4"/>
          <w:rFonts w:ascii="仿宋" w:hAnsi="仿宋" w:eastAsia="仿宋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 w:cs="宋体"/>
          <w:b/>
          <w:bCs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2"/>
        <w:tblW w:w="843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191"/>
        <w:gridCol w:w="1350"/>
        <w:gridCol w:w="3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中国（海南）南海博物馆项目回执单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龙行万里——海上丝绸之路</w:t>
            </w:r>
            <w:r>
              <w:rPr>
                <w:rStyle w:val="4"/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上的</w:t>
            </w:r>
            <w:r>
              <w:rPr>
                <w:rStyle w:val="4"/>
                <w:rFonts w:ascii="仿宋_GB2312" w:hAnsi="仿宋_GB2312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龙泉青瓷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b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项目人员信息表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单位盖章  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2021-05-08T04:39:30Z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431CCCB65F494C11B21F8088AEB7EB57</vt:lpwstr>
  </property>
</Properties>
</file>