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2016-2020年全国普法工作先进单位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审批表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tabs>
          <w:tab w:val="left" w:pos="4110"/>
        </w:tabs>
        <w:ind w:firstLine="2080" w:firstLineChars="650"/>
        <w:rPr>
          <w:sz w:val="32"/>
          <w:szCs w:val="32"/>
          <w:u w:val="none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80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.05pt;z-index:251660288;mso-width-relative:page;mso-height-relative:page;" filled="f" stroked="t" coordsize="21600,21600" o:gfxdata="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B4CDGXW&#10;AAAACQEAAA8AAAAAAAAAAQAgAAAAOAAAAGRycy9kb3ducmV2LnhtbFBLAQIUABQAAAAIAIdO4kCm&#10;WzGg0wEAAHUDAAAOAAAAAAAAAAEAIAAAADs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报送单位</w:t>
      </w:r>
      <w:r>
        <w:rPr>
          <w:rFonts w:hint="default"/>
          <w:sz w:val="32"/>
          <w:szCs w:val="32"/>
        </w:rPr>
        <w:t xml:space="preserve"> </w:t>
      </w:r>
      <w:r>
        <w:rPr>
          <w:sz w:val="32"/>
          <w:szCs w:val="32"/>
          <w:u w:val="none"/>
        </w:rPr>
        <w:t>中国侨联权益保障部政策法规处</w:t>
      </w:r>
    </w:p>
    <w:p>
      <w:pPr>
        <w:tabs>
          <w:tab w:val="left" w:pos="4654"/>
        </w:tabs>
        <w:ind w:firstLine="2080" w:firstLineChars="65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057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162pt;z-index:251659264;mso-width-relative:page;mso-height-relative:page;" filled="f" stroked="t" coordsize="21600,21600" o:gfxdata="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F8ZgAvW&#10;AAAACQEAAA8AAAAAAAAAAQAgAAAAOAAAAGRycy9kb3ducmV2LnhtbFBLAQIUABQAAAAIAIdO4kA4&#10;RNUv0wEAAHUDAAAOAAAAAAAAAAEAIAAAADs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>送审单位</w:t>
      </w:r>
      <w:r>
        <w:rPr>
          <w:rFonts w:hint="default"/>
          <w:sz w:val="32"/>
          <w:szCs w:val="32"/>
        </w:rPr>
        <w:t xml:space="preserve"> 中国侨联</w:t>
      </w:r>
      <w:r>
        <w:rPr>
          <w:rFonts w:hint="default"/>
          <w:sz w:val="32"/>
          <w:szCs w:val="32"/>
        </w:rPr>
        <w:t>普法办</w:t>
      </w:r>
      <w:r>
        <w:rPr>
          <w:rFonts w:hint="default"/>
          <w:sz w:val="32"/>
          <w:szCs w:val="32"/>
        </w:rPr>
        <w:t xml:space="preserve">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填表日期：2021年9月2</w:t>
      </w:r>
      <w:r>
        <w:rPr>
          <w:rFonts w:hint="default"/>
          <w:sz w:val="32"/>
          <w:szCs w:val="32"/>
        </w:rPr>
        <w:t>9</w:t>
      </w:r>
      <w:r>
        <w:rPr>
          <w:rFonts w:hint="eastAsia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7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90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主要成绩：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2016-2020年，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中国侨联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权益保障部政策法规处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坚持以习近平新时代中国特色社会主义思想为指导，认真贯彻落实习近平总书记关于全面依法治国的重要论述，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全面把握政治性、先进性、群众性，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带领各级侨联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普法部门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按照国家“七五”普法规划要求，从侨联工作实际出发，上下一心、通力协作，深入开展法治宣传教育，取得了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好的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社会效果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一是分类开展普法活动，实现了全国侨界普法全覆盖</w:t>
            </w:r>
            <w:r>
              <w:rPr>
                <w:rFonts w:hint="default" w:ascii="黑体" w:hAnsi="黑体" w:eastAsia="黑体" w:cs="黑体"/>
                <w:b/>
                <w:bCs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紧抓重要时间节点，积极配合“3·15消费者维权日”“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·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全民国家安全教育日”“12·4国家宪法日”等重要时间节点开展侨界普法活动。尤其是突出学习宣传宪法，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分别在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沿海传统侨乡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内陆省份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少数民族地区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结合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地侨情和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实际开展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普法活动,在侨联工作中，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无论是全面依法治国的“关键少数”，还是侨界群众，都经受了一次深刻的宪法精神洗礼，依宪治国日益深入人心。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二是深化“法治中国 你我同行”侨界法治学习活动，打造了侨联法治宣传新品牌</w:t>
            </w:r>
            <w:r>
              <w:rPr>
                <w:rFonts w:hint="default" w:ascii="黑体" w:hAnsi="黑体" w:eastAsia="黑体" w:cs="黑体"/>
                <w:b/>
                <w:bCs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自2015年至今，持续在全国14省（区、市）举办了1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8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期“法治中国 你我同行”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—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侨界法治学习活动，邀请全国人大、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val="az-Cyrl-AZ"/>
              </w:rPr>
              <w:t>最高法、中央党校（国家行政学院）、律师事务所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等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知名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val="az-Cyrl-AZ"/>
              </w:rPr>
              <w:t>专家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教授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  <w:lang w:val="az-Cyrl-AZ"/>
              </w:rPr>
              <w:t>学者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，为广大基层侨联干部、侨资企业代表、侨界群众授课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0余场，参与人数累计达6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千余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人次。在“法治中国 你我同行”活动的基础上，自2017年开始在云南启动“法治宣传边关行”活动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,目前在</w:t>
            </w:r>
            <w:r>
              <w:rPr>
                <w:rFonts w:ascii="仿宋_GB2312" w:hAnsi="黑体" w:eastAsia="仿宋_GB2312"/>
                <w:color w:val="auto"/>
                <w:sz w:val="28"/>
                <w:szCs w:val="28"/>
              </w:rPr>
              <w:t>云南、内蒙古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等地共举办“法治宣传边关行”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7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期，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为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推动</w:t>
            </w:r>
            <w:r>
              <w:rPr>
                <w:rFonts w:hint="default" w:ascii="仿宋_GB2312" w:hAnsi="黑体" w:eastAsia="仿宋_GB2312"/>
                <w:color w:val="auto"/>
                <w:sz w:val="28"/>
                <w:szCs w:val="28"/>
              </w:rPr>
              <w:t>边疆</w:t>
            </w:r>
            <w:r>
              <w:rPr>
                <w:rFonts w:hint="eastAsia" w:ascii="仿宋_GB2312" w:hAnsi="黑体" w:eastAsia="仿宋_GB2312"/>
                <w:color w:val="auto"/>
                <w:sz w:val="28"/>
                <w:szCs w:val="28"/>
              </w:rPr>
              <w:t>特色侨界普法活动在全国铺开</w:t>
            </w:r>
            <w:r>
              <w:rPr>
                <w:rFonts w:hint="default" w:ascii="仿宋_GB2312" w:hAnsi="黑体" w:eastAsia="仿宋_GB2312"/>
                <w:color w:val="auto"/>
                <w:sz w:val="28"/>
                <w:szCs w:val="28"/>
              </w:rPr>
              <w:t>打下扎实基础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8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三是举办第二届“侨商杯”法律知识竞赛等系列活动，在全国侨联系统掀起学法用法新高潮</w:t>
            </w:r>
            <w:r>
              <w:rPr>
                <w:rFonts w:hint="default" w:ascii="黑体" w:hAnsi="黑体" w:eastAsia="黑体" w:cs="黑体"/>
                <w:b/>
                <w:bCs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结合《归侨侨眷权益保护法》颁布30周年，中国侨联与全国普法办联合举办纪念归侨侨眷权益保护法颁布30周年暨第二届“侨商杯”法律知识竞赛活动。活动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期间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，中国侨联普法办微信公众号共发布专题推文413篇，动漫作品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0部、图解作品10篇，阅读量共计605万人次，总计8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万人次参与答题，微信公众号订阅数达20万</w:t>
            </w: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，在全国</w:t>
            </w:r>
            <w:r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lang w:eastAsia="zh-CN" w:bidi="ar-SA"/>
              </w:rPr>
              <w:t>侨联系统</w:t>
            </w: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掀起</w:t>
            </w:r>
            <w:r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lang w:eastAsia="zh-CN" w:bidi="ar-SA"/>
              </w:rPr>
              <w:t>了</w:t>
            </w: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lang w:eastAsia="zh-CN" w:bidi="ar-SA"/>
              </w:rPr>
              <w:t>一场知侨法、学侨法、懂侨法的</w:t>
            </w:r>
            <w:r>
              <w:rPr>
                <w:rFonts w:hint="eastAsia" w:ascii="仿宋_GB2312" w:hAnsi="黑体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活动高潮</w:t>
            </w:r>
            <w:r>
              <w:rPr>
                <w:rFonts w:hint="default" w:ascii="仿宋_GB2312" w:hAnsi="黑体" w:eastAsia="仿宋_GB2312" w:cs="Times New Roman"/>
                <w:color w:val="auto"/>
                <w:kern w:val="2"/>
                <w:sz w:val="28"/>
                <w:szCs w:val="28"/>
                <w:lang w:eastAsia="zh-CN" w:bidi="ar-SA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8"/>
                <w:szCs w:val="28"/>
              </w:rPr>
              <w:t>四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</w:rPr>
              <w:t>是充分发挥中国侨联法顾委智库专家团队作用，以侨法宣传推动法治实践落实落地</w:t>
            </w:r>
            <w:r>
              <w:rPr>
                <w:rFonts w:hint="default" w:ascii="黑体" w:hAnsi="黑体" w:eastAsia="黑体" w:cs="黑体"/>
                <w:b/>
                <w:bCs/>
                <w:color w:val="auto"/>
                <w:sz w:val="28"/>
                <w:szCs w:val="28"/>
              </w:rPr>
              <w:t>。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切实发挥好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中国侨联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法顾委这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一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侨界法律智库专家团队在侨法宣传中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引领作用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，每年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组织法顾委委员到全国各省（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区、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市）开展走访调研、普法教育宣传、法律咨询，了解掌握侨界的呼声诉求，推动归侨侨眷权益保护法修改</w:t>
            </w:r>
            <w:r>
              <w:rPr>
                <w:rFonts w:hint="default" w:ascii="仿宋_GB2312" w:hAnsi="黑体" w:eastAsia="仿宋_GB2312" w:cs="Times New Roman"/>
                <w:color w:val="auto"/>
                <w:sz w:val="28"/>
                <w:szCs w:val="28"/>
              </w:rPr>
              <w:t>。结合</w:t>
            </w:r>
            <w:r>
              <w:rPr>
                <w:rFonts w:hint="eastAsia" w:ascii="仿宋_GB2312" w:hAnsi="黑体" w:eastAsia="仿宋_GB2312" w:cs="Times New Roman"/>
                <w:color w:val="auto"/>
                <w:sz w:val="28"/>
                <w:szCs w:val="28"/>
              </w:rPr>
              <w:t>海外侨情发展和十三届全国人大立法规划，推动华侨权益立法工作有序开展，加大对华侨投资保护的研究。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9000" w:type="dxa"/>
            <w:tcBorders>
              <w:bottom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省（自治区、直辖市）、部委普法依法治理领导小组审批意见：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</w:pPr>
            <w:r>
              <w:rPr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32"/>
                <w:szCs w:val="32"/>
              </w:rPr>
              <w:t xml:space="preserve"> 同意</w:t>
            </w:r>
          </w:p>
          <w:p>
            <w:pPr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ind w:firstLine="6160" w:firstLineChars="2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章）</w:t>
            </w: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9000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全国普法办公室审定意见：</w:t>
            </w: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rPr>
                <w:kern w:val="0"/>
                <w:sz w:val="28"/>
                <w:szCs w:val="28"/>
              </w:rPr>
            </w:pPr>
          </w:p>
          <w:p>
            <w:pPr>
              <w:ind w:right="56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（盖章）</w:t>
            </w:r>
          </w:p>
          <w:p>
            <w:pPr>
              <w:ind w:right="420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default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default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35"/>
    <w:rsid w:val="0001740C"/>
    <w:rsid w:val="000778CD"/>
    <w:rsid w:val="000D1695"/>
    <w:rsid w:val="00102E71"/>
    <w:rsid w:val="00131E3F"/>
    <w:rsid w:val="001D7378"/>
    <w:rsid w:val="001E7C35"/>
    <w:rsid w:val="002B3697"/>
    <w:rsid w:val="00397E3F"/>
    <w:rsid w:val="003B66D0"/>
    <w:rsid w:val="003C448D"/>
    <w:rsid w:val="00400BB2"/>
    <w:rsid w:val="00417B15"/>
    <w:rsid w:val="005114D5"/>
    <w:rsid w:val="0055216D"/>
    <w:rsid w:val="00562E9B"/>
    <w:rsid w:val="00681868"/>
    <w:rsid w:val="006D506D"/>
    <w:rsid w:val="006E3225"/>
    <w:rsid w:val="006F645E"/>
    <w:rsid w:val="00701D52"/>
    <w:rsid w:val="00816ACC"/>
    <w:rsid w:val="008312A3"/>
    <w:rsid w:val="009052A4"/>
    <w:rsid w:val="00981C60"/>
    <w:rsid w:val="00B26C54"/>
    <w:rsid w:val="00B363AC"/>
    <w:rsid w:val="00B758A7"/>
    <w:rsid w:val="00BA7631"/>
    <w:rsid w:val="00BF7040"/>
    <w:rsid w:val="00C0167C"/>
    <w:rsid w:val="00D50095"/>
    <w:rsid w:val="00E10035"/>
    <w:rsid w:val="00E5333B"/>
    <w:rsid w:val="00EF0EEB"/>
    <w:rsid w:val="00FC22BF"/>
    <w:rsid w:val="53C7D678"/>
    <w:rsid w:val="75571BF2"/>
    <w:rsid w:val="AC9B5916"/>
    <w:rsid w:val="CAEADCA4"/>
    <w:rsid w:val="CCFDAF45"/>
    <w:rsid w:val="D7EFF365"/>
    <w:rsid w:val="E58FF0A4"/>
    <w:rsid w:val="FF7F5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219</Words>
  <Characters>1251</Characters>
  <Lines>10</Lines>
  <Paragraphs>2</Paragraphs>
  <TotalTime>0</TotalTime>
  <ScaleCrop>false</ScaleCrop>
  <LinksUpToDate>false</LinksUpToDate>
  <CharactersWithSpaces>1468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2021-09-24T22:23:00Z</dcterms:created>
  <dc:creator>asus</dc:creator>
  <cp:lastModifiedBy>thtf</cp:lastModifiedBy>
  <dcterms:modified xsi:type="dcterms:W3CDTF">2021-09-24T14:16:22Z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