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bCs/>
          <w:color w:val="000000"/>
          <w:sz w:val="32"/>
          <w:szCs w:val="32"/>
        </w:rPr>
        <w:t>3</w:t>
      </w:r>
    </w:p>
    <w:p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</w:p>
    <w:tbl>
      <w:tblPr>
        <w:tblStyle w:val="2"/>
        <w:tblW w:w="9724" w:type="dxa"/>
        <w:tblInd w:w="-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282"/>
        <w:gridCol w:w="568"/>
        <w:gridCol w:w="56"/>
        <w:gridCol w:w="935"/>
        <w:gridCol w:w="285"/>
        <w:gridCol w:w="141"/>
        <w:gridCol w:w="349"/>
        <w:gridCol w:w="360"/>
        <w:gridCol w:w="142"/>
        <w:gridCol w:w="991"/>
        <w:gridCol w:w="128"/>
        <w:gridCol w:w="142"/>
        <w:gridCol w:w="8"/>
        <w:gridCol w:w="615"/>
        <w:gridCol w:w="807"/>
        <w:gridCol w:w="48"/>
        <w:gridCol w:w="563"/>
        <w:gridCol w:w="375"/>
        <w:gridCol w:w="375"/>
        <w:gridCol w:w="308"/>
        <w:gridCol w:w="192"/>
        <w:gridCol w:w="63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3481" w:type="dxa"/>
            <w:gridSpan w:val="10"/>
            <w:vAlign w:val="center"/>
          </w:tcPr>
          <w:p>
            <w:pPr>
              <w:spacing w:line="380" w:lineRule="exact"/>
              <w:jc w:val="both"/>
              <w:rPr>
                <w:rFonts w:ascii="华文中宋" w:hAnsi="华文中宋" w:eastAsia="华文中宋" w:cs="Times New Roman"/>
                <w:sz w:val="28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坚决维护《南海各方行为宣言》的严肃性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体 </w:t>
            </w:r>
            <w:r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裁</w:t>
            </w:r>
          </w:p>
        </w:tc>
        <w:tc>
          <w:tcPr>
            <w:tcW w:w="3291" w:type="dxa"/>
            <w:gridSpan w:val="8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pacing w:val="-12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2"/>
                <w:szCs w:val="22"/>
              </w:rPr>
              <w:t>（主创人员）</w:t>
            </w:r>
          </w:p>
        </w:tc>
        <w:tc>
          <w:tcPr>
            <w:tcW w:w="3481" w:type="dxa"/>
            <w:gridSpan w:val="10"/>
            <w:vAlign w:val="center"/>
          </w:tcPr>
          <w:p>
            <w:pPr>
              <w:spacing w:line="380" w:lineRule="exact"/>
              <w:jc w:val="both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宦翔、胡泽曦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编 </w:t>
            </w:r>
            <w:r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辑</w:t>
            </w:r>
          </w:p>
        </w:tc>
        <w:tc>
          <w:tcPr>
            <w:tcW w:w="3291" w:type="dxa"/>
            <w:gridSpan w:val="8"/>
            <w:vAlign w:val="center"/>
          </w:tcPr>
          <w:p>
            <w:pPr>
              <w:spacing w:line="38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马小宁、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裴广江、吴乐珺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原创单位</w:t>
            </w:r>
          </w:p>
        </w:tc>
        <w:tc>
          <w:tcPr>
            <w:tcW w:w="3481" w:type="dxa"/>
            <w:gridSpan w:val="10"/>
            <w:vAlign w:val="center"/>
          </w:tcPr>
          <w:p>
            <w:pPr>
              <w:spacing w:line="320" w:lineRule="exact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人民日报社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260" w:lineRule="exact"/>
              <w:rPr>
                <w:rFonts w:ascii="华文中宋" w:hAnsi="华文中宋" w:eastAsia="华文中宋" w:cs="Times New Roman"/>
                <w:color w:val="000000"/>
                <w:sz w:val="21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1"/>
                <w:szCs w:val="28"/>
              </w:rPr>
              <w:t>发布端/账号/媒体名称</w:t>
            </w:r>
          </w:p>
        </w:tc>
        <w:tc>
          <w:tcPr>
            <w:tcW w:w="3291" w:type="dxa"/>
            <w:gridSpan w:val="8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人民日报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字数/时长</w:t>
            </w:r>
          </w:p>
        </w:tc>
        <w:tc>
          <w:tcPr>
            <w:tcW w:w="4903" w:type="dxa"/>
            <w:gridSpan w:val="12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 w:cs="仿宋"/>
                <w:color w:val="000000"/>
                <w:sz w:val="32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0"/>
              </w:rPr>
              <w:t>1248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语种</w:t>
            </w:r>
          </w:p>
        </w:tc>
        <w:tc>
          <w:tcPr>
            <w:tcW w:w="2305" w:type="dxa"/>
            <w:gridSpan w:val="5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刊播版面</w:t>
            </w: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  <w:t>(</w:t>
            </w: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4"/>
                <w:szCs w:val="22"/>
              </w:rPr>
              <w:t>名称和版次)</w:t>
            </w:r>
          </w:p>
        </w:tc>
        <w:tc>
          <w:tcPr>
            <w:tcW w:w="2070" w:type="dxa"/>
            <w:gridSpan w:val="5"/>
            <w:vAlign w:val="center"/>
          </w:tcPr>
          <w:p>
            <w:pPr>
              <w:spacing w:line="240" w:lineRule="exact"/>
              <w:rPr>
                <w:rFonts w:hint="default" w:ascii="仿宋" w:hAnsi="仿宋" w:eastAsia="仿宋" w:cs="仿宋"/>
                <w:color w:val="000000"/>
                <w:sz w:val="28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0"/>
                <w:lang w:val="en-US" w:eastAsia="zh-CN"/>
              </w:rPr>
              <w:t>第15版国际</w:t>
            </w:r>
          </w:p>
        </w:tc>
        <w:tc>
          <w:tcPr>
            <w:tcW w:w="1403" w:type="dxa"/>
            <w:gridSpan w:val="4"/>
            <w:vAlign w:val="center"/>
          </w:tcPr>
          <w:p>
            <w:pPr>
              <w:spacing w:line="30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刊播日期</w:t>
            </w:r>
          </w:p>
        </w:tc>
        <w:tc>
          <w:tcPr>
            <w:tcW w:w="2416" w:type="dxa"/>
            <w:gridSpan w:val="6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8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0"/>
              </w:rPr>
              <w:t>2024年09月09日</w:t>
            </w:r>
          </w:p>
        </w:tc>
        <w:tc>
          <w:tcPr>
            <w:tcW w:w="875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刊播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周期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新媒体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" w:cs="Times New Roman"/>
                <w:color w:val="000000"/>
                <w:sz w:val="32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作品网址</w:t>
            </w:r>
          </w:p>
        </w:tc>
        <w:tc>
          <w:tcPr>
            <w:tcW w:w="4903" w:type="dxa"/>
            <w:gridSpan w:val="12"/>
            <w:vAlign w:val="center"/>
          </w:tcPr>
          <w:p>
            <w:pPr>
              <w:spacing w:line="260" w:lineRule="exact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</w:p>
        </w:tc>
        <w:tc>
          <w:tcPr>
            <w:tcW w:w="1861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1"/>
              </w:rPr>
              <w:t>是否为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spacing w:line="260" w:lineRule="exact"/>
              <w:rPr>
                <w:rFonts w:hint="eastAsia" w:ascii="华文中宋" w:hAnsi="华文中宋" w:eastAsia="华文中宋" w:cs="Times New Roman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</w:trPr>
        <w:tc>
          <w:tcPr>
            <w:tcW w:w="90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  <w:lang w:bidi="ar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  <w:lang w:bidi="ar"/>
              </w:rPr>
              <w:t>采作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  <w:lang w:bidi="ar"/>
              </w:rPr>
              <w:t>编品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  <w:lang w:bidi="ar"/>
              </w:rPr>
              <w:t>过简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  <w:lang w:bidi="ar"/>
              </w:rPr>
              <w:t>程介</w:t>
            </w:r>
          </w:p>
          <w:p>
            <w:pPr>
              <w:spacing w:line="320" w:lineRule="exact"/>
              <w:jc w:val="center"/>
              <w:rPr>
                <w:rFonts w:hint="eastAsia" w:ascii="仿宋" w:hAnsi="Calibri" w:eastAsia="仿宋" w:cs="Times New Roman"/>
                <w:sz w:val="3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2"/>
                <w:lang w:bidi="ar"/>
              </w:rPr>
              <w:t xml:space="preserve"> 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bidi="ar"/>
              </w:rPr>
              <w:t>︶</w:t>
            </w:r>
          </w:p>
        </w:tc>
        <w:tc>
          <w:tcPr>
            <w:tcW w:w="8818" w:type="dxa"/>
            <w:gridSpan w:val="2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针对菲律宾多点侵权，试图赖占无人岛礁，造成南海局势轮番升级，人民日报社国际部精准研判形势，在关键时间节点撰写“钟声”评论，围绕菲方借“人道主义”之名行“冒险侵权”之实进行精准批驳，以新事实、新表述展现中方最新判断，强调中方坚决依法维权，就是在维护《南海各方行为宣言》的严肃性，就是在维护南海和平稳定。文章在中菲举行南海问题双边磋商机制团长会晤之前刊发，有力配合了我外交大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这篇“钟声”评论基调稳妥，批驳精准，时机有利，说理透彻，牢牢占据道义制高点，有效引导国内舆论、影响国际舆论，凸显了中共中央机关报国际评论的权威性。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6" w:hRule="atLeast"/>
        </w:trPr>
        <w:tc>
          <w:tcPr>
            <w:tcW w:w="90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国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传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效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果</w:t>
            </w:r>
          </w:p>
        </w:tc>
        <w:tc>
          <w:tcPr>
            <w:tcW w:w="8818" w:type="dxa"/>
            <w:gridSpan w:val="2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文章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引发路透社、《菲律宾时报》、新加坡《海峡时报》、马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西亚《星报》网站、英国《每日邮报》、澳大利亚《悉尼太阳报》、美国《洛杉矶先驱报》等120多家外国媒体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主动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转引解读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路透社引用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文中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“冲突对抗没有出路，对话协商才是正道”“船上人员完全可以离开，所谓存在‘人道主义’问题，是菲方一意孤行造成的”等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多处内容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。《菲律宾时报》专门刊文解读这篇“钟声”文章，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引用“菲方应认真思考中菲关系未来之路，同中方相向而行，推动双边关系早日重回正轨”“菲方应切实履行承诺，不应再朝令夕改、出尔反尔”等观点。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菲律宾媒体专门就该文请菲律宾外交部置评。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有关部门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充分肯定这篇“钟声”评论传播效果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06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传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播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数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据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2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33" w:type="dxa"/>
            <w:gridSpan w:val="17"/>
            <w:vAlign w:val="center"/>
          </w:tcPr>
          <w:p>
            <w:pP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0"/>
                <w:szCs w:val="13"/>
              </w:rPr>
              <w:fldChar w:fldCharType="begin"/>
            </w:r>
            <w:r>
              <w:rPr>
                <w:rFonts w:hint="eastAsia" w:ascii="仿宋" w:hAnsi="仿宋" w:eastAsia="仿宋" w:cs="Times New Roman"/>
                <w:color w:val="000000"/>
                <w:sz w:val="20"/>
                <w:szCs w:val="13"/>
              </w:rPr>
              <w:instrText xml:space="preserve"> HYPERLINK "https://www.reuters.com/world/asia-pacific/china-says-ties-with-philippines-crossroads-over-south-china-sea-2024-09-09/" </w:instrText>
            </w:r>
            <w:r>
              <w:rPr>
                <w:rFonts w:hint="eastAsia" w:ascii="仿宋" w:hAnsi="仿宋" w:eastAsia="仿宋" w:cs="Times New Roman"/>
                <w:color w:val="000000"/>
                <w:sz w:val="20"/>
                <w:szCs w:val="13"/>
              </w:rPr>
              <w:fldChar w:fldCharType="separate"/>
            </w:r>
            <w:r>
              <w:rPr>
                <w:rStyle w:val="5"/>
                <w:rFonts w:hint="eastAsia" w:ascii="仿宋" w:hAnsi="仿宋" w:eastAsia="仿宋" w:cs="Times New Roman"/>
                <w:sz w:val="20"/>
                <w:szCs w:val="13"/>
              </w:rPr>
              <w:t>https://www.reuters.com/world/asia-pacific/china-says-ties-with-philippines-crossroads-over-south-china-sea-2024-09-09/</w:t>
            </w:r>
            <w:r>
              <w:rPr>
                <w:rFonts w:hint="eastAsia" w:ascii="仿宋" w:hAnsi="仿宋" w:eastAsia="仿宋" w:cs="Times New Roman"/>
                <w:color w:val="000000"/>
                <w:sz w:val="20"/>
                <w:szCs w:val="13"/>
              </w:rPr>
              <w:fldChar w:fldCharType="end"/>
            </w:r>
            <w:r>
              <w:rPr>
                <w:rFonts w:hint="default" w:ascii="仿宋" w:hAnsi="仿宋" w:eastAsia="仿宋" w:cs="Times New Roman"/>
                <w:color w:val="000000"/>
                <w:sz w:val="20"/>
                <w:szCs w:val="13"/>
                <w:lang w:val="en-US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06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</w:p>
        </w:tc>
        <w:tc>
          <w:tcPr>
            <w:tcW w:w="1559" w:type="dxa"/>
            <w:gridSpan w:val="3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33" w:type="dxa"/>
            <w:gridSpan w:val="17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13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13"/>
              </w:rPr>
              <w:instrText xml:space="preserve"> HYPERLINK "https://x.com/Reuters/status/1832954620521390317" </w:instrTex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13"/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sz w:val="20"/>
                <w:szCs w:val="13"/>
              </w:rPr>
              <w:t>https://x.com/Reuters/status/1832954620521390317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13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13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906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</w:p>
        </w:tc>
        <w:tc>
          <w:tcPr>
            <w:tcW w:w="1559" w:type="dxa"/>
            <w:gridSpan w:val="3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33" w:type="dxa"/>
            <w:gridSpan w:val="17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instrText xml:space="preserve"> HYPERLINK "https://www.voanews.com/a/china-philippines-to-discuss-south-china-sea-dispute-amid-clashes-/7779823.html" </w:instrTex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fldChar w:fldCharType="separate"/>
            </w:r>
            <w:r>
              <w:rPr>
                <w:rStyle w:val="5"/>
                <w:rFonts w:hint="eastAsia" w:ascii="仿宋" w:hAnsi="仿宋" w:eastAsia="仿宋" w:cs="仿宋"/>
                <w:sz w:val="21"/>
                <w:szCs w:val="15"/>
              </w:rPr>
              <w:t>https://www.voanews.com/a/china-philippines-to-discuss-south-china-sea-dispute-amid-clashes-/7779823.html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06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6"/>
            <w:vAlign w:val="center"/>
          </w:tcPr>
          <w:p>
            <w:pPr>
              <w:spacing w:line="240" w:lineRule="exac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超800万次</w:t>
            </w:r>
          </w:p>
        </w:tc>
        <w:tc>
          <w:tcPr>
            <w:tcW w:w="893" w:type="dxa"/>
            <w:gridSpan w:val="4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793" w:type="dxa"/>
            <w:gridSpan w:val="4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120多家媒体</w:t>
            </w:r>
          </w:p>
        </w:tc>
        <w:tc>
          <w:tcPr>
            <w:tcW w:w="938" w:type="dxa"/>
            <w:gridSpan w:val="4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67" w:type="dxa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初推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评荐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评理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语由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  ︶</w:t>
            </w:r>
          </w:p>
        </w:tc>
        <w:tc>
          <w:tcPr>
            <w:tcW w:w="8194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这篇“钟声”评论刊发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时机准、论证稳、观点新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从具体事件到宏观格局、从历史经纬到现实博弈的多维度论证逻辑，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具有穿透力和纵深感，批驳精准，时机有利，说理透彻，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展现中国维护主权的坚定立场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，有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力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引导国内舆论、影响国际舆论，凸显了中共中央机关报国际评论的权威性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与国际传播力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。</w:t>
            </w:r>
          </w:p>
          <w:p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  <w:p>
            <w:pPr>
              <w:spacing w:line="260" w:lineRule="exact"/>
              <w:rPr>
                <w:rFonts w:ascii="仿宋_GB2312" w:hAnsi="仿宋" w:eastAsia="仿宋" w:cs="Times New Roman"/>
                <w:color w:val="000000"/>
                <w:sz w:val="24"/>
                <w:szCs w:val="18"/>
              </w:rPr>
            </w:pPr>
            <w:bookmarkStart w:id="0" w:name="_GoBack"/>
            <w:bookmarkEnd w:id="0"/>
          </w:p>
          <w:p>
            <w:pPr>
              <w:spacing w:line="240" w:lineRule="exact"/>
              <w:rPr>
                <w:rFonts w:ascii="华文中宋" w:hAnsi="华文中宋" w:eastAsia="华文中宋" w:cs="Times New Roman"/>
                <w:color w:val="000000"/>
                <w:spacing w:val="-2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2"/>
                <w:sz w:val="28"/>
                <w:szCs w:val="22"/>
              </w:rPr>
              <w:t xml:space="preserve">                      </w:t>
            </w:r>
          </w:p>
          <w:p>
            <w:pPr>
              <w:spacing w:line="360" w:lineRule="exact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2"/>
                <w:sz w:val="28"/>
                <w:szCs w:val="22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（盖单位公章）</w:t>
            </w:r>
          </w:p>
          <w:p>
            <w:pPr>
              <w:rPr>
                <w:rFonts w:ascii="仿宋" w:hAnsi="仿宋" w:eastAsia="仿宋" w:cs="Times New Roman"/>
                <w:color w:val="000000"/>
                <w:sz w:val="32"/>
                <w:szCs w:val="21"/>
              </w:rPr>
            </w:pPr>
            <w:r>
              <w:rPr>
                <w:rFonts w:hint="eastAsia" w:ascii="仿宋_GB2312" w:hAnsi="Calibri" w:eastAsia="仿宋" w:cs="Times New Roman"/>
                <w:color w:val="000000"/>
                <w:sz w:val="28"/>
                <w:szCs w:val="22"/>
              </w:rPr>
              <w:t xml:space="preserve">                                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2025</w:t>
            </w:r>
            <w:r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  <w:t xml:space="preserve">年 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月</w:t>
            </w:r>
            <w:r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  <w:t xml:space="preserve"> 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人</w:t>
            </w: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</w:p>
        </w:tc>
        <w:tc>
          <w:tcPr>
            <w:tcW w:w="162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邮箱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</w:p>
        </w:tc>
        <w:tc>
          <w:tcPr>
            <w:tcW w:w="162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16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地址</w:t>
            </w:r>
          </w:p>
        </w:tc>
        <w:tc>
          <w:tcPr>
            <w:tcW w:w="4951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</w:p>
        </w:tc>
        <w:tc>
          <w:tcPr>
            <w:tcW w:w="162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邮编</w:t>
            </w:r>
          </w:p>
        </w:tc>
        <w:tc>
          <w:tcPr>
            <w:tcW w:w="16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 w:cs="Times New Roman"/>
                <w:color w:val="000000"/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24" w:type="dxa"/>
            <w:gridSpan w:val="24"/>
            <w:vAlign w:val="center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 w:cs="Times New Roman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2"/>
              </w:rPr>
              <w:t>自荐作品所获奖项名称</w:t>
            </w:r>
          </w:p>
        </w:tc>
        <w:tc>
          <w:tcPr>
            <w:tcW w:w="825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2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推荐人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6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6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74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Times New Roman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2"/>
              </w:rPr>
              <w:t>审核单位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2"/>
              </w:rPr>
              <w:t>意见</w:t>
            </w:r>
          </w:p>
        </w:tc>
        <w:tc>
          <w:tcPr>
            <w:tcW w:w="825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w w:val="95"/>
                <w:sz w:val="32"/>
                <w:szCs w:val="21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>
            <w:pPr>
              <w:ind w:firstLine="9156" w:firstLineChars="2850"/>
              <w:rPr>
                <w:rFonts w:ascii="仿宋" w:hAnsi="仿宋" w:eastAsia="仿宋" w:cs="Times New Roman"/>
                <w:color w:val="000000"/>
                <w:sz w:val="32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32"/>
                <w:szCs w:val="21"/>
              </w:rPr>
              <w:t xml:space="preserve"> </w:t>
            </w:r>
          </w:p>
          <w:p>
            <w:pPr>
              <w:ind w:firstLine="640" w:firstLineChars="200"/>
              <w:rPr>
                <w:rFonts w:ascii="仿宋" w:hAnsi="仿宋" w:eastAsia="仿宋" w:cs="Times New Roman"/>
                <w:color w:val="000000"/>
                <w:sz w:val="32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32"/>
                <w:szCs w:val="21"/>
              </w:rPr>
              <w:t xml:space="preserve">            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（加盖单位公章）</w:t>
            </w:r>
          </w:p>
          <w:p>
            <w:pPr>
              <w:ind w:firstLine="420"/>
              <w:rPr>
                <w:rFonts w:ascii="华文中宋" w:hAnsi="华文中宋" w:eastAsia="华文中宋" w:cs="Times New Roman"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32"/>
                <w:szCs w:val="21"/>
              </w:rPr>
              <w:t xml:space="preserve">                           </w:t>
            </w:r>
            <w:r>
              <w:rPr>
                <w:rFonts w:ascii="华文中宋" w:hAnsi="华文中宋" w:eastAsia="华文中宋" w:cs="Times New Roman"/>
                <w:sz w:val="24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 w:cs="Times New Roman"/>
                <w:sz w:val="24"/>
                <w:szCs w:val="22"/>
              </w:rPr>
              <w:t>2025</w:t>
            </w:r>
            <w:r>
              <w:rPr>
                <w:rFonts w:ascii="华文中宋" w:hAnsi="华文中宋" w:eastAsia="华文中宋" w:cs="Times New Roman"/>
                <w:sz w:val="24"/>
                <w:szCs w:val="22"/>
              </w:rPr>
              <w:t>年    月    日</w:t>
            </w:r>
          </w:p>
          <w:p>
            <w:pPr>
              <w:spacing w:line="380" w:lineRule="exact"/>
              <w:jc w:val="center"/>
              <w:rPr>
                <w:rFonts w:ascii="仿宋" w:hAnsi="仿宋" w:eastAsia="仿宋" w:cs="Times New Roman"/>
                <w:b/>
                <w:color w:val="000000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</w:trPr>
        <w:tc>
          <w:tcPr>
            <w:tcW w:w="9724" w:type="dxa"/>
            <w:gridSpan w:val="24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8"/>
                <w:szCs w:val="28"/>
              </w:rPr>
              <w:t>此表可从中国记协网www.zgjx.cn下载。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wiss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after="0" w:line="320" w:lineRule="exact"/>
      <w:ind w:firstLine="602"/>
      <w:jc w:val="both"/>
      <w:rPr>
        <w:rFonts w:ascii="楷体" w:hAnsi="楷体" w:eastAsia="楷体" w:cs="Times New Roman"/>
        <w:b/>
        <w:kern w:val="2"/>
        <w:sz w:val="30"/>
        <w:szCs w:val="30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FAA9C"/>
    <w:rsid w:val="05FD428F"/>
    <w:rsid w:val="0A7E07DB"/>
    <w:rsid w:val="125873EA"/>
    <w:rsid w:val="16691725"/>
    <w:rsid w:val="19C763D6"/>
    <w:rsid w:val="1EE26F66"/>
    <w:rsid w:val="23B55CA3"/>
    <w:rsid w:val="27340E64"/>
    <w:rsid w:val="2A7F4162"/>
    <w:rsid w:val="2B540188"/>
    <w:rsid w:val="2BC918F6"/>
    <w:rsid w:val="30683F4A"/>
    <w:rsid w:val="3EDFAA9C"/>
    <w:rsid w:val="3EE6020B"/>
    <w:rsid w:val="3F77B145"/>
    <w:rsid w:val="470973B2"/>
    <w:rsid w:val="4AB76CDF"/>
    <w:rsid w:val="4DB80D23"/>
    <w:rsid w:val="52F60754"/>
    <w:rsid w:val="537F78A0"/>
    <w:rsid w:val="56243EA2"/>
    <w:rsid w:val="56363540"/>
    <w:rsid w:val="568E1A60"/>
    <w:rsid w:val="58F04F74"/>
    <w:rsid w:val="5DFF592C"/>
    <w:rsid w:val="5ED32730"/>
    <w:rsid w:val="616E690F"/>
    <w:rsid w:val="63814D08"/>
    <w:rsid w:val="63D06BC9"/>
    <w:rsid w:val="6D8C561D"/>
    <w:rsid w:val="6ECE6AE6"/>
    <w:rsid w:val="7450631C"/>
    <w:rsid w:val="753B0152"/>
    <w:rsid w:val="7DF74C8C"/>
    <w:rsid w:val="A87F2E19"/>
    <w:rsid w:val="DAFD3F83"/>
    <w:rsid w:val="DBF6AA3E"/>
    <w:rsid w:val="FCFEB54C"/>
    <w:rsid w:val="FF7A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2025-03-28T06:36:00Z</dcterms:created>
  <dc:creator>Wang Di</dc:creator>
  <cp:lastModifiedBy>珺Audrey</cp:lastModifiedBy>
  <dcterms:modified xsi:type="dcterms:W3CDTF">2025-04-09T11:10:43Z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E1B73FB56DFEB1DB4A5EEB67B7D0A83A_43</vt:lpwstr>
  </property>
</Properties>
</file>